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C3B8C2" w14:textId="2A49C0A8" w:rsidR="00585323" w:rsidRDefault="00FA2A9D">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 xml:space="preserve"> </w:t>
      </w:r>
      <w:proofErr w:type="spellStart"/>
      <w:r w:rsidR="00F9683B">
        <w:rPr>
          <w:rFonts w:ascii="Arial Narrow" w:eastAsia="Arial Narrow" w:hAnsi="Arial Narrow" w:cs="Arial Narrow"/>
          <w:sz w:val="14"/>
          <w:szCs w:val="14"/>
        </w:rPr>
        <w:t>Diterbitkan</w:t>
      </w:r>
      <w:proofErr w:type="spellEnd"/>
      <w:r w:rsidR="00F9683B">
        <w:rPr>
          <w:rFonts w:ascii="Arial Narrow" w:eastAsia="Arial Narrow" w:hAnsi="Arial Narrow" w:cs="Arial Narrow"/>
          <w:sz w:val="14"/>
          <w:szCs w:val="14"/>
        </w:rPr>
        <w:t xml:space="preserve"> oleh:</w:t>
      </w:r>
    </w:p>
    <w:p w14:paraId="2593C4D8" w14:textId="77777777" w:rsidR="00585323" w:rsidRDefault="00F9683B">
      <w:pPr>
        <w:spacing w:after="0" w:line="240" w:lineRule="auto"/>
        <w:rPr>
          <w:rFonts w:ascii="Arial Narrow" w:eastAsia="Arial Narrow" w:hAnsi="Arial Narrow" w:cs="Arial Narrow"/>
          <w:sz w:val="14"/>
          <w:szCs w:val="14"/>
        </w:rPr>
      </w:pPr>
      <w:proofErr w:type="spellStart"/>
      <w:r>
        <w:rPr>
          <w:rFonts w:ascii="Arial Narrow" w:eastAsia="Arial Narrow" w:hAnsi="Arial Narrow" w:cs="Arial Narrow"/>
          <w:sz w:val="14"/>
          <w:szCs w:val="14"/>
        </w:rPr>
        <w:t>Fakultas</w:t>
      </w:r>
      <w:proofErr w:type="spellEnd"/>
      <w:r>
        <w:rPr>
          <w:rFonts w:ascii="Arial Narrow" w:eastAsia="Arial Narrow" w:hAnsi="Arial Narrow" w:cs="Arial Narrow"/>
          <w:sz w:val="14"/>
          <w:szCs w:val="14"/>
        </w:rPr>
        <w:t xml:space="preserve"> </w:t>
      </w:r>
      <w:proofErr w:type="spellStart"/>
      <w:r>
        <w:rPr>
          <w:rFonts w:ascii="Arial Narrow" w:eastAsia="Arial Narrow" w:hAnsi="Arial Narrow" w:cs="Arial Narrow"/>
          <w:sz w:val="14"/>
          <w:szCs w:val="14"/>
        </w:rPr>
        <w:t>Syari’ah</w:t>
      </w:r>
      <w:proofErr w:type="spellEnd"/>
    </w:p>
    <w:p w14:paraId="30F34832" w14:textId="77777777" w:rsidR="00585323" w:rsidRDefault="00F9683B">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 xml:space="preserve">Universitas Islam Negeri </w:t>
      </w:r>
      <w:proofErr w:type="spellStart"/>
      <w:r>
        <w:rPr>
          <w:rFonts w:ascii="Arial Narrow" w:eastAsia="Arial Narrow" w:hAnsi="Arial Narrow" w:cs="Arial Narrow"/>
          <w:sz w:val="14"/>
          <w:szCs w:val="14"/>
        </w:rPr>
        <w:t>Fatmawati</w:t>
      </w:r>
      <w:proofErr w:type="spellEnd"/>
      <w:r>
        <w:rPr>
          <w:rFonts w:ascii="Arial Narrow" w:eastAsia="Arial Narrow" w:hAnsi="Arial Narrow" w:cs="Arial Narrow"/>
          <w:sz w:val="14"/>
          <w:szCs w:val="14"/>
        </w:rPr>
        <w:t xml:space="preserve"> Sukarno Bengkulu.</w:t>
      </w:r>
    </w:p>
    <w:p w14:paraId="002562B6" w14:textId="77777777" w:rsidR="00585323" w:rsidRDefault="00F9683B">
      <w:pPr>
        <w:spacing w:after="0" w:line="240" w:lineRule="auto"/>
        <w:rPr>
          <w:rFonts w:ascii="Arial Narrow" w:eastAsia="Arial Narrow" w:hAnsi="Arial Narrow" w:cs="Arial Narrow"/>
          <w:sz w:val="14"/>
          <w:szCs w:val="14"/>
        </w:rPr>
      </w:pPr>
      <w:r>
        <w:rPr>
          <w:rFonts w:ascii="Arial Narrow" w:eastAsia="Arial Narrow" w:hAnsi="Arial Narrow" w:cs="Arial Narrow"/>
          <w:sz w:val="14"/>
          <w:szCs w:val="14"/>
        </w:rPr>
        <w:t>DOI: 10.29300/imr.v8i2.xxxx</w:t>
      </w:r>
    </w:p>
    <w:p w14:paraId="35488A9A" w14:textId="77777777" w:rsidR="00585323" w:rsidRDefault="00F9683B">
      <w:pPr>
        <w:spacing w:after="0" w:line="240" w:lineRule="auto"/>
        <w:jc w:val="right"/>
        <w:rPr>
          <w:rFonts w:ascii="Arial" w:eastAsia="Arial" w:hAnsi="Arial" w:cs="Arial"/>
          <w:b/>
          <w:i/>
          <w:sz w:val="54"/>
          <w:szCs w:val="54"/>
        </w:rPr>
      </w:pPr>
      <w:r>
        <w:rPr>
          <w:rFonts w:ascii="Arial" w:eastAsia="Arial" w:hAnsi="Arial" w:cs="Arial"/>
          <w:b/>
          <w:i/>
          <w:sz w:val="54"/>
          <w:szCs w:val="54"/>
        </w:rPr>
        <w:t>AL-IMARAH</w:t>
      </w:r>
    </w:p>
    <w:p w14:paraId="2660CAE5" w14:textId="77777777" w:rsidR="001C2EE3" w:rsidRDefault="001C2EE3">
      <w:pPr>
        <w:spacing w:after="0" w:line="240" w:lineRule="auto"/>
        <w:jc w:val="right"/>
        <w:rPr>
          <w:rFonts w:ascii="Courier New" w:eastAsia="Courier New" w:hAnsi="Courier New" w:cs="Courier New"/>
          <w:sz w:val="14"/>
          <w:szCs w:val="14"/>
        </w:rPr>
      </w:pPr>
      <w:r w:rsidRPr="001C2EE3">
        <w:rPr>
          <w:rFonts w:ascii="Courier New" w:eastAsia="Courier New" w:hAnsi="Courier New" w:cs="Courier New"/>
          <w:sz w:val="14"/>
          <w:szCs w:val="14"/>
        </w:rPr>
        <w:t>Journal Of Islamic Government and Politics</w:t>
      </w:r>
    </w:p>
    <w:p w14:paraId="262E12BA" w14:textId="3E3C3241" w:rsidR="00585323" w:rsidRDefault="00F9683B">
      <w:pPr>
        <w:spacing w:after="0" w:line="240" w:lineRule="auto"/>
        <w:jc w:val="right"/>
        <w:rPr>
          <w:rFonts w:ascii="Arial Narrow" w:eastAsia="Arial Narrow" w:hAnsi="Arial Narrow" w:cs="Arial Narrow"/>
          <w:sz w:val="16"/>
          <w:szCs w:val="16"/>
        </w:rPr>
      </w:pPr>
      <w:r>
        <w:rPr>
          <w:rFonts w:ascii="Arial Narrow" w:eastAsia="Arial Narrow" w:hAnsi="Arial Narrow" w:cs="Arial Narrow"/>
          <w:sz w:val="16"/>
          <w:szCs w:val="16"/>
        </w:rPr>
        <w:t>Volume</w:t>
      </w:r>
      <w:r w:rsidR="004C3787">
        <w:rPr>
          <w:rFonts w:ascii="Arial Narrow" w:eastAsia="Arial Narrow" w:hAnsi="Arial Narrow" w:cs="Arial Narrow"/>
          <w:sz w:val="16"/>
          <w:szCs w:val="16"/>
        </w:rPr>
        <w:t xml:space="preserve"> 10</w:t>
      </w:r>
      <w:r>
        <w:rPr>
          <w:rFonts w:ascii="Arial Narrow" w:eastAsia="Arial Narrow" w:hAnsi="Arial Narrow" w:cs="Arial Narrow"/>
          <w:sz w:val="16"/>
          <w:szCs w:val="16"/>
        </w:rPr>
        <w:t xml:space="preserve"> Issue </w:t>
      </w:r>
      <w:r w:rsidR="004C3787">
        <w:rPr>
          <w:rFonts w:ascii="Arial Narrow" w:eastAsia="Arial Narrow" w:hAnsi="Arial Narrow" w:cs="Arial Narrow"/>
          <w:sz w:val="16"/>
          <w:szCs w:val="16"/>
        </w:rPr>
        <w:t>1, Januar</w:t>
      </w:r>
      <w:r w:rsidR="00640C73">
        <w:rPr>
          <w:rFonts w:ascii="Arial Narrow" w:eastAsia="Arial Narrow" w:hAnsi="Arial Narrow" w:cs="Arial Narrow"/>
          <w:sz w:val="16"/>
          <w:szCs w:val="16"/>
        </w:rPr>
        <w:t xml:space="preserve">y </w:t>
      </w:r>
      <w:r w:rsidR="004C3787">
        <w:rPr>
          <w:rFonts w:ascii="Arial Narrow" w:eastAsia="Arial Narrow" w:hAnsi="Arial Narrow" w:cs="Arial Narrow"/>
          <w:sz w:val="16"/>
          <w:szCs w:val="16"/>
        </w:rPr>
        <w:t>2025</w:t>
      </w:r>
    </w:p>
    <w:p w14:paraId="50912C68" w14:textId="63BEF894" w:rsidR="00585323" w:rsidRPr="008C2606" w:rsidRDefault="00F9683B">
      <w:pPr>
        <w:spacing w:after="0" w:line="240" w:lineRule="auto"/>
        <w:jc w:val="right"/>
        <w:rPr>
          <w:rFonts w:asciiTheme="minorHAnsi" w:eastAsia="Arial Narrow" w:hAnsiTheme="minorHAnsi" w:cstheme="minorHAnsi"/>
          <w:sz w:val="16"/>
          <w:szCs w:val="16"/>
          <w:lang w:val="id-ID"/>
        </w:rPr>
      </w:pPr>
      <w:r w:rsidRPr="008F778E">
        <w:rPr>
          <w:rFonts w:asciiTheme="minorHAnsi" w:eastAsia="Arial Narrow" w:hAnsiTheme="minorHAnsi" w:cstheme="minorHAnsi"/>
          <w:sz w:val="16"/>
          <w:szCs w:val="16"/>
        </w:rPr>
        <w:t>P-ISSN: 2541-0067, E-ISSN: 26</w:t>
      </w:r>
      <w:r w:rsidR="005A2A0D">
        <w:rPr>
          <w:rFonts w:asciiTheme="minorHAnsi" w:eastAsia="Arial Narrow" w:hAnsiTheme="minorHAnsi" w:cstheme="minorHAnsi"/>
          <w:sz w:val="16"/>
          <w:szCs w:val="16"/>
        </w:rPr>
        <w:t>84</w:t>
      </w:r>
      <w:r w:rsidRPr="008F778E">
        <w:rPr>
          <w:rFonts w:asciiTheme="minorHAnsi" w:eastAsia="Arial Narrow" w:hAnsiTheme="minorHAnsi" w:cstheme="minorHAnsi"/>
          <w:sz w:val="16"/>
          <w:szCs w:val="16"/>
        </w:rPr>
        <w:t>-799X</w:t>
      </w:r>
    </w:p>
    <w:p w14:paraId="6C616C84" w14:textId="33D09E96" w:rsidR="00585323" w:rsidRPr="00F43AF7" w:rsidRDefault="001C2EE3" w:rsidP="00F43AF7">
      <w:pPr>
        <w:rPr>
          <w:rFonts w:asciiTheme="minorHAnsi" w:hAnsiTheme="minorHAnsi" w:cstheme="minorHAnsi"/>
          <w:b/>
          <w:bCs/>
          <w:sz w:val="36"/>
          <w:szCs w:val="36"/>
        </w:rPr>
      </w:pPr>
      <w:r w:rsidRPr="001C2EE3">
        <w:rPr>
          <w:rFonts w:asciiTheme="minorHAnsi" w:hAnsiTheme="minorHAnsi" w:cstheme="minorHAnsi"/>
          <w:b/>
          <w:bCs/>
          <w:sz w:val="36"/>
          <w:szCs w:val="36"/>
        </w:rPr>
        <w:t>Presidential Authority in a Presidential System: A Juridical Analysis Based on Governmental Legal Literature</w:t>
      </w:r>
    </w:p>
    <w:p w14:paraId="708D02E1" w14:textId="77777777" w:rsidR="00585323" w:rsidRPr="00B32AD8" w:rsidRDefault="00A3657C" w:rsidP="00A3657C">
      <w:pPr>
        <w:pBdr>
          <w:top w:val="nil"/>
          <w:left w:val="nil"/>
          <w:bottom w:val="nil"/>
          <w:right w:val="nil"/>
          <w:between w:val="nil"/>
        </w:pBdr>
        <w:spacing w:after="0" w:line="240" w:lineRule="auto"/>
        <w:rPr>
          <w:b/>
          <w:color w:val="000000"/>
          <w:sz w:val="28"/>
          <w:szCs w:val="28"/>
          <w:vertAlign w:val="superscript"/>
        </w:rPr>
      </w:pPr>
      <w:r>
        <w:rPr>
          <w:b/>
          <w:color w:val="000000"/>
          <w:sz w:val="28"/>
          <w:szCs w:val="28"/>
          <w:lang w:val="id-ID"/>
        </w:rPr>
        <w:t>Melda Sary</w:t>
      </w:r>
      <w:r w:rsidR="00B32AD8">
        <w:rPr>
          <w:b/>
          <w:color w:val="000000"/>
          <w:sz w:val="28"/>
          <w:szCs w:val="28"/>
          <w:vertAlign w:val="superscript"/>
        </w:rPr>
        <w:t>1</w:t>
      </w:r>
      <w:r w:rsidR="00B32AD8">
        <w:rPr>
          <w:b/>
          <w:color w:val="000000"/>
          <w:sz w:val="28"/>
          <w:szCs w:val="28"/>
        </w:rPr>
        <w:t xml:space="preserve">, </w:t>
      </w:r>
      <w:proofErr w:type="spellStart"/>
      <w:r w:rsidRPr="00A3657C">
        <w:rPr>
          <w:b/>
          <w:color w:val="000000"/>
          <w:sz w:val="28"/>
          <w:szCs w:val="28"/>
        </w:rPr>
        <w:t>Topandes</w:t>
      </w:r>
      <w:proofErr w:type="spellEnd"/>
      <w:r w:rsidRPr="00A3657C">
        <w:rPr>
          <w:b/>
          <w:color w:val="000000"/>
          <w:sz w:val="28"/>
          <w:szCs w:val="28"/>
        </w:rPr>
        <w:t xml:space="preserve"> Saputra</w:t>
      </w:r>
      <w:r w:rsidR="00B32AD8">
        <w:rPr>
          <w:b/>
          <w:color w:val="000000"/>
          <w:sz w:val="28"/>
          <w:szCs w:val="28"/>
          <w:vertAlign w:val="superscript"/>
        </w:rPr>
        <w:t>2</w:t>
      </w:r>
      <w:r w:rsidR="00B32AD8">
        <w:rPr>
          <w:b/>
          <w:color w:val="000000"/>
          <w:sz w:val="28"/>
          <w:szCs w:val="28"/>
        </w:rPr>
        <w:t xml:space="preserve">, </w:t>
      </w:r>
      <w:r>
        <w:rPr>
          <w:b/>
          <w:color w:val="000000"/>
          <w:sz w:val="28"/>
          <w:szCs w:val="28"/>
        </w:rPr>
        <w:t xml:space="preserve">Della </w:t>
      </w:r>
      <w:r>
        <w:rPr>
          <w:b/>
          <w:color w:val="000000"/>
          <w:sz w:val="28"/>
          <w:szCs w:val="28"/>
          <w:lang w:val="id-ID"/>
        </w:rPr>
        <w:t>P</w:t>
      </w:r>
      <w:r w:rsidRPr="00A3657C">
        <w:rPr>
          <w:b/>
          <w:color w:val="000000"/>
          <w:sz w:val="28"/>
          <w:szCs w:val="28"/>
        </w:rPr>
        <w:t>uspita</w:t>
      </w:r>
      <w:r w:rsidR="00B32AD8">
        <w:rPr>
          <w:b/>
          <w:color w:val="000000"/>
          <w:sz w:val="28"/>
          <w:szCs w:val="28"/>
          <w:vertAlign w:val="superscript"/>
        </w:rPr>
        <w:t>3</w:t>
      </w:r>
    </w:p>
    <w:p w14:paraId="6CB4668D" w14:textId="77777777" w:rsidR="00585323" w:rsidRDefault="00585323">
      <w:pPr>
        <w:spacing w:after="0" w:line="240" w:lineRule="auto"/>
        <w:rPr>
          <w:b/>
        </w:rPr>
      </w:pPr>
    </w:p>
    <w:p w14:paraId="5FCF0FF4" w14:textId="77777777" w:rsidR="00585323" w:rsidRDefault="00F9683B" w:rsidP="00A3657C">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1</w:t>
      </w:r>
      <w:r>
        <w:rPr>
          <w:i/>
          <w:color w:val="000000"/>
          <w:sz w:val="18"/>
          <w:szCs w:val="18"/>
        </w:rPr>
        <w:t xml:space="preserve">Universitas Islam Negeri </w:t>
      </w:r>
      <w:proofErr w:type="spellStart"/>
      <w:r>
        <w:rPr>
          <w:i/>
          <w:color w:val="000000"/>
          <w:sz w:val="18"/>
          <w:szCs w:val="18"/>
        </w:rPr>
        <w:t>Fatmawati</w:t>
      </w:r>
      <w:proofErr w:type="spellEnd"/>
      <w:r>
        <w:rPr>
          <w:i/>
          <w:color w:val="000000"/>
          <w:sz w:val="18"/>
          <w:szCs w:val="18"/>
        </w:rPr>
        <w:t xml:space="preserve"> Sukarno Bengkulu, Indonesia. E-mail: </w:t>
      </w:r>
      <w:hyperlink r:id="rId9" w:history="1">
        <w:r w:rsidR="00A3657C" w:rsidRPr="00D0103C">
          <w:rPr>
            <w:rStyle w:val="Hyperlink"/>
            <w:i/>
            <w:sz w:val="18"/>
            <w:szCs w:val="18"/>
            <w:lang w:val="id-ID"/>
          </w:rPr>
          <w:t>meldasary100604@gmail.com</w:t>
        </w:r>
      </w:hyperlink>
    </w:p>
    <w:p w14:paraId="25A3F0AA" w14:textId="77777777" w:rsidR="00585323" w:rsidRDefault="00F9683B" w:rsidP="006417AF">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2</w:t>
      </w:r>
      <w:r>
        <w:rPr>
          <w:i/>
          <w:color w:val="000000"/>
          <w:sz w:val="18"/>
          <w:szCs w:val="18"/>
        </w:rPr>
        <w:t xml:space="preserve">Universitas Islam Negeri </w:t>
      </w:r>
      <w:proofErr w:type="spellStart"/>
      <w:r>
        <w:rPr>
          <w:i/>
          <w:color w:val="000000"/>
          <w:sz w:val="18"/>
          <w:szCs w:val="18"/>
        </w:rPr>
        <w:t>Fatmawati</w:t>
      </w:r>
      <w:proofErr w:type="spellEnd"/>
      <w:r>
        <w:rPr>
          <w:i/>
          <w:color w:val="000000"/>
          <w:sz w:val="18"/>
          <w:szCs w:val="18"/>
        </w:rPr>
        <w:t xml:space="preserve"> Sukarno Bengkulu, Indonesia. </w:t>
      </w:r>
      <w:r w:rsidR="00B32AD8">
        <w:rPr>
          <w:i/>
          <w:color w:val="000000"/>
          <w:sz w:val="18"/>
          <w:szCs w:val="18"/>
        </w:rPr>
        <w:t xml:space="preserve">E-mail: </w:t>
      </w:r>
      <w:hyperlink r:id="rId10" w:history="1">
        <w:r w:rsidR="006417AF" w:rsidRPr="00D0103C">
          <w:rPr>
            <w:rStyle w:val="Hyperlink"/>
            <w:i/>
            <w:sz w:val="18"/>
            <w:szCs w:val="18"/>
            <w:lang w:val="id-ID"/>
          </w:rPr>
          <w:t>topandessa@gmail.com</w:t>
        </w:r>
      </w:hyperlink>
    </w:p>
    <w:p w14:paraId="1D546840" w14:textId="77777777" w:rsidR="006417AF" w:rsidRDefault="00F9683B" w:rsidP="006417AF">
      <w:pPr>
        <w:pBdr>
          <w:top w:val="nil"/>
          <w:left w:val="nil"/>
          <w:bottom w:val="nil"/>
          <w:right w:val="nil"/>
          <w:between w:val="nil"/>
        </w:pBdr>
        <w:spacing w:after="0" w:line="240" w:lineRule="auto"/>
        <w:rPr>
          <w:i/>
          <w:color w:val="000000"/>
          <w:sz w:val="18"/>
          <w:szCs w:val="18"/>
          <w:lang w:val="id-ID"/>
        </w:rPr>
      </w:pPr>
      <w:r>
        <w:rPr>
          <w:i/>
          <w:color w:val="000000"/>
          <w:sz w:val="18"/>
          <w:szCs w:val="18"/>
          <w:vertAlign w:val="superscript"/>
        </w:rPr>
        <w:t>3</w:t>
      </w:r>
      <w:r>
        <w:rPr>
          <w:i/>
          <w:color w:val="000000"/>
          <w:sz w:val="18"/>
          <w:szCs w:val="18"/>
        </w:rPr>
        <w:t xml:space="preserve">Universitas Islam Negeri </w:t>
      </w:r>
      <w:proofErr w:type="spellStart"/>
      <w:r>
        <w:rPr>
          <w:i/>
          <w:color w:val="000000"/>
          <w:sz w:val="18"/>
          <w:szCs w:val="18"/>
        </w:rPr>
        <w:t>Fatmawati</w:t>
      </w:r>
      <w:proofErr w:type="spellEnd"/>
      <w:r>
        <w:rPr>
          <w:i/>
          <w:color w:val="000000"/>
          <w:sz w:val="18"/>
          <w:szCs w:val="18"/>
        </w:rPr>
        <w:t xml:space="preserve"> Sukarno Bengkulu, Indonesia. E-mail:</w:t>
      </w:r>
      <w:hyperlink r:id="rId11" w:history="1">
        <w:r w:rsidR="006417AF" w:rsidRPr="00D0103C">
          <w:rPr>
            <w:rStyle w:val="Hyperlink"/>
            <w:i/>
            <w:sz w:val="18"/>
            <w:szCs w:val="18"/>
            <w:lang w:val="id-ID"/>
          </w:rPr>
          <w:t>pdela947@gmail.com</w:t>
        </w:r>
      </w:hyperlink>
    </w:p>
    <w:p w14:paraId="4A302575" w14:textId="77777777" w:rsidR="00E23C27" w:rsidRPr="006417AF" w:rsidRDefault="00E23C27" w:rsidP="00B32AD8">
      <w:pPr>
        <w:pBdr>
          <w:top w:val="nil"/>
          <w:left w:val="nil"/>
          <w:bottom w:val="nil"/>
          <w:right w:val="nil"/>
          <w:between w:val="nil"/>
        </w:pBdr>
        <w:spacing w:after="0" w:line="240" w:lineRule="auto"/>
        <w:rPr>
          <w:i/>
          <w:color w:val="000000"/>
          <w:sz w:val="18"/>
          <w:szCs w:val="18"/>
          <w:lang w:val="id-ID"/>
        </w:rPr>
      </w:pPr>
    </w:p>
    <w:p w14:paraId="3419DAE9" w14:textId="77777777" w:rsidR="00E23C27" w:rsidRPr="00B35706" w:rsidRDefault="00E23C27" w:rsidP="008F778E">
      <w:pPr>
        <w:spacing w:after="0" w:line="240" w:lineRule="auto"/>
        <w:jc w:val="both"/>
        <w:rPr>
          <w:b/>
        </w:rPr>
      </w:pPr>
    </w:p>
    <w:p w14:paraId="1EA1A307" w14:textId="2EB7D0C3" w:rsidR="006417AF" w:rsidRPr="006417AF" w:rsidRDefault="00D7569B" w:rsidP="006417AF">
      <w:pPr>
        <w:spacing w:after="0"/>
        <w:jc w:val="both"/>
        <w:rPr>
          <w:rFonts w:asciiTheme="minorHAnsi" w:eastAsia="Times New Roman" w:hAnsiTheme="minorHAnsi" w:cstheme="minorHAnsi"/>
          <w:sz w:val="20"/>
          <w:szCs w:val="20"/>
          <w:lang w:val="id-ID"/>
        </w:rPr>
      </w:pPr>
      <w:r w:rsidRPr="00D7569B">
        <w:rPr>
          <w:rStyle w:val="Strong"/>
          <w:rFonts w:asciiTheme="minorHAnsi" w:hAnsiTheme="minorHAnsi" w:cstheme="minorHAnsi"/>
          <w:bdr w:val="single" w:sz="2" w:space="0" w:color="E5E7EB" w:frame="1"/>
        </w:rPr>
        <w:t>Abstract</w:t>
      </w:r>
      <w:r w:rsidRPr="00D7569B">
        <w:rPr>
          <w:rFonts w:asciiTheme="minorHAnsi" w:hAnsiTheme="minorHAnsi" w:cstheme="minorHAnsi"/>
        </w:rPr>
        <w:br/>
      </w:r>
      <w:r w:rsidR="006417AF" w:rsidRPr="006417AF">
        <w:rPr>
          <w:rFonts w:asciiTheme="minorHAnsi" w:eastAsia="Times New Roman" w:hAnsiTheme="minorHAnsi" w:cstheme="minorHAnsi"/>
          <w:sz w:val="20"/>
          <w:szCs w:val="20"/>
          <w:lang w:val="id-ID"/>
        </w:rPr>
        <w:t>The presidential system places the president as both head of state and head of government with broad and independent executive powers. In Indonesia, these powers are constitutionally regulated by the 1945 Constitution, but in practice, they often raise debates regarding power limitations and the mechanisms of checks and balances among state institutions. This study aims to juridically analyze the president’s authority in Indonesia’s presidential system. The research employs a normative legal</w:t>
      </w:r>
      <w:r w:rsidR="00FA2A9D">
        <w:rPr>
          <w:rFonts w:asciiTheme="minorHAnsi" w:eastAsia="Times New Roman" w:hAnsiTheme="minorHAnsi" w:cstheme="minorHAnsi"/>
          <w:sz w:val="20"/>
          <w:szCs w:val="20"/>
          <w:lang w:val="id-ID"/>
        </w:rPr>
        <w:t xml:space="preserve"> </w:t>
      </w:r>
      <w:r w:rsidR="006417AF" w:rsidRPr="006417AF">
        <w:rPr>
          <w:rFonts w:asciiTheme="minorHAnsi" w:eastAsia="Times New Roman" w:hAnsiTheme="minorHAnsi" w:cstheme="minorHAnsi"/>
          <w:sz w:val="20"/>
          <w:szCs w:val="20"/>
          <w:lang w:val="id-ID"/>
        </w:rPr>
        <w:t>method using a juridical-normative approach, which involves the analysis of laws, legal documents, legal literature, and relevant court decisions. The findings show that presidential authority i</w:t>
      </w:r>
      <w:r w:rsidR="00036BE4">
        <w:rPr>
          <w:rFonts w:asciiTheme="minorHAnsi" w:eastAsia="Times New Roman" w:hAnsiTheme="minorHAnsi" w:cstheme="minorHAnsi"/>
          <w:sz w:val="20"/>
          <w:szCs w:val="20"/>
          <w:lang w:val="id-ID"/>
        </w:rPr>
        <w:t xml:space="preserve">s divided into two main aspects </w:t>
      </w:r>
      <w:r w:rsidR="006417AF" w:rsidRPr="006417AF">
        <w:rPr>
          <w:rFonts w:asciiTheme="minorHAnsi" w:eastAsia="Times New Roman" w:hAnsiTheme="minorHAnsi" w:cstheme="minorHAnsi"/>
          <w:sz w:val="20"/>
          <w:szCs w:val="20"/>
          <w:lang w:val="id-ID"/>
        </w:rPr>
        <w:t xml:space="preserve">head </w:t>
      </w:r>
      <w:r w:rsidR="00036BE4">
        <w:rPr>
          <w:rFonts w:asciiTheme="minorHAnsi" w:eastAsia="Times New Roman" w:hAnsiTheme="minorHAnsi" w:cstheme="minorHAnsi"/>
          <w:sz w:val="20"/>
          <w:szCs w:val="20"/>
          <w:lang w:val="id-ID"/>
        </w:rPr>
        <w:t xml:space="preserve">of state and head of government </w:t>
      </w:r>
      <w:r w:rsidR="006417AF" w:rsidRPr="006417AF">
        <w:rPr>
          <w:rFonts w:asciiTheme="minorHAnsi" w:eastAsia="Times New Roman" w:hAnsiTheme="minorHAnsi" w:cstheme="minorHAnsi"/>
          <w:sz w:val="20"/>
          <w:szCs w:val="20"/>
          <w:lang w:val="id-ID"/>
        </w:rPr>
        <w:t>each with its own legal basis and limitations. The president holds significant authority in defense, foreign affairs, and administrative governance, yet remains under legislative and judicial oversight as a form of power restraint. The study concludes that Indonesia’s presidential system supports governmental stability and effectiveness but requires that executive power be exercised constitutionally, transparently, and accountably to prevent authoritarian tendencies.</w:t>
      </w:r>
    </w:p>
    <w:p w14:paraId="39F7FB71" w14:textId="77777777" w:rsidR="006417AF" w:rsidRDefault="006417AF" w:rsidP="006417AF">
      <w:pPr>
        <w:spacing w:after="0" w:line="240" w:lineRule="auto"/>
        <w:jc w:val="both"/>
        <w:rPr>
          <w:rFonts w:asciiTheme="minorHAnsi" w:eastAsia="Times New Roman" w:hAnsiTheme="minorHAnsi" w:cstheme="minorHAnsi"/>
          <w:sz w:val="20"/>
          <w:szCs w:val="20"/>
          <w:lang w:val="id-ID"/>
        </w:rPr>
      </w:pPr>
      <w:r w:rsidRPr="006417AF">
        <w:rPr>
          <w:rFonts w:asciiTheme="minorHAnsi" w:eastAsia="Times New Roman" w:hAnsiTheme="minorHAnsi" w:cstheme="minorHAnsi"/>
          <w:b/>
          <w:bCs/>
          <w:sz w:val="20"/>
          <w:szCs w:val="20"/>
          <w:lang w:val="id-ID"/>
        </w:rPr>
        <w:t>Keywords</w:t>
      </w:r>
      <w:r w:rsidRPr="006417AF">
        <w:rPr>
          <w:rFonts w:asciiTheme="minorHAnsi" w:eastAsia="Times New Roman" w:hAnsiTheme="minorHAnsi" w:cstheme="minorHAnsi"/>
          <w:sz w:val="20"/>
          <w:szCs w:val="20"/>
          <w:lang w:val="id-ID"/>
        </w:rPr>
        <w:t>: presidential authority, presidential system, 1945 Constitution, checks and balances, constitutional law</w:t>
      </w:r>
    </w:p>
    <w:p w14:paraId="7975FBDC" w14:textId="77777777" w:rsidR="006417AF" w:rsidRPr="006417AF" w:rsidRDefault="006417AF" w:rsidP="006417AF">
      <w:pPr>
        <w:spacing w:after="0" w:line="240" w:lineRule="auto"/>
        <w:jc w:val="both"/>
        <w:rPr>
          <w:rFonts w:asciiTheme="minorHAnsi" w:eastAsia="Times New Roman" w:hAnsiTheme="minorHAnsi" w:cstheme="minorHAnsi"/>
          <w:sz w:val="20"/>
          <w:szCs w:val="20"/>
          <w:lang w:val="id-ID"/>
        </w:rPr>
      </w:pPr>
    </w:p>
    <w:p w14:paraId="3E4C10A5" w14:textId="2030099F" w:rsidR="00585323" w:rsidRDefault="001C2EE3" w:rsidP="006417AF">
      <w:pPr>
        <w:pStyle w:val="my-0"/>
        <w:pBdr>
          <w:top w:val="single" w:sz="2" w:space="0" w:color="E5E7EB"/>
          <w:left w:val="single" w:sz="2" w:space="0" w:color="E5E7EB"/>
          <w:bottom w:val="single" w:sz="2" w:space="0" w:color="E5E7EB"/>
          <w:right w:val="single" w:sz="2" w:space="0" w:color="E5E7EB"/>
        </w:pBdr>
        <w:spacing w:before="0" w:beforeAutospacing="0" w:after="0" w:afterAutospacing="0"/>
        <w:rPr>
          <w:b/>
          <w:smallCaps/>
          <w:color w:val="000000"/>
        </w:rPr>
      </w:pPr>
      <w:r w:rsidRPr="001C2EE3">
        <w:rPr>
          <w:b/>
          <w:smallCaps/>
          <w:color w:val="000000"/>
        </w:rPr>
        <w:t>Introduction</w:t>
      </w:r>
    </w:p>
    <w:p w14:paraId="07276F2C" w14:textId="0515F369" w:rsidR="00331258" w:rsidRPr="00006DF3" w:rsidRDefault="001C2EE3" w:rsidP="006417AF">
      <w:pPr>
        <w:spacing w:after="0"/>
        <w:ind w:firstLine="720"/>
        <w:jc w:val="both"/>
        <w:rPr>
          <w:sz w:val="24"/>
          <w:szCs w:val="24"/>
          <w:lang w:val="id-ID"/>
        </w:rPr>
      </w:pPr>
      <w:r w:rsidRPr="001C2EE3">
        <w:rPr>
          <w:sz w:val="24"/>
          <w:szCs w:val="24"/>
        </w:rPr>
        <w:t xml:space="preserve">The presidential system is a form of government where the president serves as both head of state and head of government, wielding extensive and autonomous executive powers. In Indonesia, this system is constitutionally established under the 1945 Constitution, which affirms the president's role in executing state and governmental functions directly, without dependence on the legislature. However, in practice, presidential authority frequently becomes a subject of debate, particularly concerning its limits and the mechanisms of checks and balances among the president, the House of Representatives (DPR), and the judiciary. Therefore, a juridical study of </w:t>
      </w:r>
      <w:r w:rsidRPr="001C2EE3">
        <w:rPr>
          <w:sz w:val="24"/>
          <w:szCs w:val="24"/>
        </w:rPr>
        <w:lastRenderedPageBreak/>
        <w:t>presidential authority in Indonesia's presidential system is essential to ensure its alignment with the principles of the rule of law and democracy</w:t>
      </w:r>
      <w:r w:rsidR="00331258">
        <w:rPr>
          <w:sz w:val="24"/>
          <w:szCs w:val="24"/>
        </w:rPr>
        <w:t>.</w:t>
      </w:r>
      <w:r w:rsidR="00006DF3">
        <w:rPr>
          <w:rStyle w:val="FootnoteReference"/>
          <w:sz w:val="24"/>
          <w:szCs w:val="24"/>
        </w:rPr>
        <w:footnoteReference w:id="2"/>
      </w:r>
    </w:p>
    <w:p w14:paraId="48F77D72" w14:textId="2B52F172" w:rsidR="001C2EE3" w:rsidRDefault="001C2EE3" w:rsidP="006417AF">
      <w:pPr>
        <w:spacing w:after="0"/>
        <w:ind w:firstLine="720"/>
        <w:jc w:val="both"/>
        <w:rPr>
          <w:sz w:val="24"/>
          <w:szCs w:val="24"/>
        </w:rPr>
      </w:pPr>
      <w:r w:rsidRPr="001C2EE3">
        <w:rPr>
          <w:sz w:val="24"/>
          <w:szCs w:val="24"/>
        </w:rPr>
        <w:t>Existing governmental legal literature has explored presidential authority from various perspectives, including constitutional and practical implementation. Previous research has generally highlighted inter-institutional relationships and the president's role in policymaking</w:t>
      </w:r>
      <w:r w:rsidR="00C85A2E">
        <w:rPr>
          <w:sz w:val="24"/>
          <w:szCs w:val="24"/>
        </w:rPr>
        <w:t xml:space="preserve"> </w:t>
      </w:r>
      <w:proofErr w:type="spellStart"/>
      <w:r w:rsidR="00C85A2E">
        <w:rPr>
          <w:sz w:val="24"/>
          <w:szCs w:val="24"/>
        </w:rPr>
        <w:t>proces</w:t>
      </w:r>
      <w:proofErr w:type="spellEnd"/>
      <w:r w:rsidRPr="001C2EE3">
        <w:rPr>
          <w:sz w:val="24"/>
          <w:szCs w:val="24"/>
        </w:rPr>
        <w:t>. However, comprehensive juridical analyses based on contemporary governmental legal literature remain scarce</w:t>
      </w:r>
      <w:r w:rsidR="00006DF3">
        <w:rPr>
          <w:sz w:val="24"/>
          <w:szCs w:val="24"/>
        </w:rPr>
        <w:t>.</w:t>
      </w:r>
      <w:r w:rsidR="00006DF3">
        <w:rPr>
          <w:rStyle w:val="FootnoteReference"/>
          <w:sz w:val="24"/>
          <w:szCs w:val="24"/>
        </w:rPr>
        <w:footnoteReference w:id="3"/>
      </w:r>
      <w:r w:rsidR="00F43AF7">
        <w:rPr>
          <w:sz w:val="24"/>
          <w:szCs w:val="24"/>
        </w:rPr>
        <w:t xml:space="preserve"> </w:t>
      </w:r>
      <w:r w:rsidRPr="001C2EE3">
        <w:rPr>
          <w:sz w:val="24"/>
          <w:szCs w:val="24"/>
        </w:rPr>
        <w:t>The primary issue addressed in this study is how presidential authority is regulated and exercised within Indonesia's presidential system, as well as its juridical boundaries in maintaining power balance among state institutions.</w:t>
      </w:r>
    </w:p>
    <w:p w14:paraId="530E0D53" w14:textId="336DA57B" w:rsidR="008A4F7F" w:rsidRPr="00331258" w:rsidRDefault="0042507E" w:rsidP="006417AF">
      <w:pPr>
        <w:spacing w:after="0"/>
        <w:ind w:firstLine="720"/>
        <w:jc w:val="both"/>
        <w:rPr>
          <w:sz w:val="24"/>
          <w:szCs w:val="24"/>
        </w:rPr>
      </w:pPr>
      <w:r w:rsidRPr="0042507E">
        <w:rPr>
          <w:sz w:val="24"/>
          <w:szCs w:val="24"/>
        </w:rPr>
        <w:t>The objective of this article is to juridically analyze presidential authority in the presidential system based on governmental legal literature and to elucidate the limitations and mechanisms of such authority within Indonesia's constitutional framework.</w:t>
      </w:r>
    </w:p>
    <w:p w14:paraId="5D221D11" w14:textId="62F0859F" w:rsidR="00585323" w:rsidRPr="00B167DF" w:rsidRDefault="00551701">
      <w:pPr>
        <w:pBdr>
          <w:top w:val="nil"/>
          <w:left w:val="nil"/>
          <w:bottom w:val="nil"/>
          <w:right w:val="nil"/>
          <w:between w:val="nil"/>
        </w:pBdr>
        <w:spacing w:before="140" w:after="40" w:line="240" w:lineRule="auto"/>
        <w:rPr>
          <w:rFonts w:asciiTheme="minorHAnsi" w:hAnsiTheme="minorHAnsi" w:cstheme="minorHAnsi"/>
          <w:b/>
          <w:smallCaps/>
          <w:color w:val="000000"/>
          <w:sz w:val="24"/>
          <w:szCs w:val="24"/>
        </w:rPr>
      </w:pPr>
      <w:r w:rsidRPr="00551701">
        <w:rPr>
          <w:rFonts w:asciiTheme="minorHAnsi" w:hAnsiTheme="minorHAnsi" w:cstheme="minorHAnsi"/>
          <w:b/>
          <w:smallCaps/>
          <w:color w:val="000000"/>
          <w:sz w:val="24"/>
          <w:szCs w:val="24"/>
        </w:rPr>
        <w:t>Method</w:t>
      </w:r>
    </w:p>
    <w:p w14:paraId="125260C6" w14:textId="77777777" w:rsidR="00551701" w:rsidRPr="00551701" w:rsidRDefault="00551701" w:rsidP="00551701">
      <w:pPr>
        <w:spacing w:after="0"/>
        <w:ind w:firstLine="720"/>
        <w:jc w:val="both"/>
        <w:rPr>
          <w:sz w:val="24"/>
          <w:szCs w:val="24"/>
        </w:rPr>
      </w:pPr>
      <w:r w:rsidRPr="00551701">
        <w:rPr>
          <w:sz w:val="24"/>
          <w:szCs w:val="24"/>
        </w:rPr>
        <w:t>This study employs a normative juridical method with a library research approach, examining primary and secondary legal sources to provide an in-depth analysis of presidential authority in Indonesia's presidential system. The normative juridical method was selected due to the study's focus on analyzing presidential authority based on prevailing legal provisions, legal doctrines, and expert opinions in governmental law.</w:t>
      </w:r>
    </w:p>
    <w:p w14:paraId="00C1EEF2" w14:textId="3FE97689" w:rsidR="008A4F7F" w:rsidRPr="00006DF3" w:rsidRDefault="00551701" w:rsidP="00551701">
      <w:pPr>
        <w:spacing w:after="0"/>
        <w:ind w:firstLine="720"/>
        <w:jc w:val="both"/>
        <w:rPr>
          <w:sz w:val="24"/>
          <w:szCs w:val="24"/>
          <w:lang w:val="id-ID"/>
        </w:rPr>
      </w:pPr>
      <w:r w:rsidRPr="00551701">
        <w:rPr>
          <w:sz w:val="24"/>
          <w:szCs w:val="24"/>
        </w:rPr>
        <w:t>This approach emphasizes the examination of legal norms written in statutes, the constitution, and relevant legal literature. The method involves analyzing secondary data without field research, making it suitable for normative and conceptual juridical studies</w:t>
      </w:r>
      <w:r w:rsidR="00006DF3">
        <w:rPr>
          <w:sz w:val="24"/>
          <w:szCs w:val="24"/>
        </w:rPr>
        <w:t>.</w:t>
      </w:r>
      <w:r w:rsidR="00006DF3">
        <w:rPr>
          <w:rStyle w:val="FootnoteReference"/>
          <w:sz w:val="24"/>
          <w:szCs w:val="24"/>
        </w:rPr>
        <w:footnoteReference w:id="4"/>
      </w:r>
    </w:p>
    <w:p w14:paraId="2AF85E42" w14:textId="005ABE02" w:rsidR="00585323" w:rsidRPr="008E200D" w:rsidRDefault="00551701" w:rsidP="008E200D">
      <w:pPr>
        <w:pStyle w:val="IMARAHBAB"/>
        <w:rPr>
          <w:rFonts w:asciiTheme="minorHAnsi" w:hAnsiTheme="minorHAnsi" w:cstheme="minorHAnsi"/>
        </w:rPr>
      </w:pPr>
      <w:r w:rsidRPr="008E200D">
        <w:rPr>
          <w:rFonts w:asciiTheme="minorHAnsi" w:hAnsiTheme="minorHAnsi" w:cstheme="minorHAnsi"/>
        </w:rPr>
        <w:t>RESEARCH RESULTS</w:t>
      </w:r>
      <w:r w:rsidR="00C13657" w:rsidRPr="008E200D">
        <w:rPr>
          <w:rFonts w:asciiTheme="minorHAnsi" w:hAnsiTheme="minorHAnsi" w:cstheme="minorHAnsi"/>
        </w:rPr>
        <w:tab/>
      </w:r>
    </w:p>
    <w:p w14:paraId="1544C121" w14:textId="66A6D832" w:rsidR="008A4F7F" w:rsidRPr="006417AF" w:rsidRDefault="008A4F7F" w:rsidP="00F43AF7">
      <w:pPr>
        <w:spacing w:after="0"/>
        <w:jc w:val="both"/>
        <w:rPr>
          <w:b/>
          <w:bCs/>
          <w:sz w:val="24"/>
          <w:szCs w:val="24"/>
        </w:rPr>
      </w:pPr>
      <w:r w:rsidRPr="00B92E7A">
        <w:rPr>
          <w:sz w:val="24"/>
          <w:szCs w:val="24"/>
        </w:rPr>
        <w:t xml:space="preserve">1. </w:t>
      </w:r>
      <w:r w:rsidR="006B78A7" w:rsidRPr="00BF7F61">
        <w:rPr>
          <w:b/>
          <w:bCs/>
          <w:sz w:val="24"/>
          <w:szCs w:val="24"/>
        </w:rPr>
        <w:t>Presidential Authority as Head of State</w:t>
      </w:r>
    </w:p>
    <w:p w14:paraId="09B1C1FB" w14:textId="16249F01" w:rsidR="006417AF" w:rsidRDefault="00551701" w:rsidP="00F43AF7">
      <w:pPr>
        <w:spacing w:after="0"/>
        <w:ind w:firstLine="720"/>
        <w:jc w:val="both"/>
        <w:rPr>
          <w:sz w:val="24"/>
          <w:szCs w:val="24"/>
          <w:lang w:val="id-ID"/>
        </w:rPr>
      </w:pPr>
      <w:r w:rsidRPr="00551701">
        <w:rPr>
          <w:sz w:val="24"/>
          <w:szCs w:val="24"/>
        </w:rPr>
        <w:t xml:space="preserve">A juridical analysis of the 1945 Constitution and its amendments reveals that the president's authority as head of state is explicitly and comprehensively regulated. Article 10 of the 1945 Constitution states that the president holds supreme authority over the armed forces, underscoring the president's strategic role in national defense and security. Furthermore, Article 11 stipulates that the president may declare war, make peace, and enter into international treaties with the approval of the DPR. This </w:t>
      </w:r>
      <w:r w:rsidRPr="00551701">
        <w:rPr>
          <w:sz w:val="24"/>
          <w:szCs w:val="24"/>
        </w:rPr>
        <w:lastRenderedPageBreak/>
        <w:t>indicates that while the president possesses broad authority in foreign relations and defense, its execution requires legislative legitimacy as a form of checks and balances</w:t>
      </w:r>
      <w:r w:rsidR="00DC7CA2">
        <w:rPr>
          <w:sz w:val="24"/>
          <w:szCs w:val="24"/>
        </w:rPr>
        <w:t>.</w:t>
      </w:r>
      <w:r w:rsidR="00DC7CA2">
        <w:rPr>
          <w:rStyle w:val="FootnoteReference"/>
          <w:sz w:val="24"/>
          <w:szCs w:val="24"/>
        </w:rPr>
        <w:footnoteReference w:id="5"/>
      </w:r>
    </w:p>
    <w:p w14:paraId="036B71BF" w14:textId="0322F42C" w:rsidR="008A4F7F" w:rsidRPr="00DC7CA2" w:rsidRDefault="006B78A7" w:rsidP="00F43AF7">
      <w:pPr>
        <w:spacing w:after="0"/>
        <w:ind w:firstLine="720"/>
        <w:jc w:val="both"/>
        <w:rPr>
          <w:sz w:val="24"/>
          <w:szCs w:val="24"/>
          <w:lang w:val="id-ID"/>
        </w:rPr>
      </w:pPr>
      <w:r w:rsidRPr="006B78A7">
        <w:rPr>
          <w:sz w:val="24"/>
          <w:szCs w:val="24"/>
        </w:rPr>
        <w:t>Other exclusive presidential powers as head of state include declaring a state of emergency (Article 12), appointing and receiving ambassadors and consuls (Article 13), and granting clemency, amnesty, abolition, and rehabilitation (Article 14). These powers affirm the president's role as a symbol of national unity and the executor of final and strategic state functions</w:t>
      </w:r>
      <w:r w:rsidR="00DC7CA2">
        <w:rPr>
          <w:sz w:val="24"/>
          <w:szCs w:val="24"/>
        </w:rPr>
        <w:t>.</w:t>
      </w:r>
      <w:r w:rsidR="00DC7CA2">
        <w:rPr>
          <w:rStyle w:val="FootnoteReference"/>
          <w:sz w:val="24"/>
          <w:szCs w:val="24"/>
        </w:rPr>
        <w:footnoteReference w:id="6"/>
      </w:r>
    </w:p>
    <w:p w14:paraId="4BF76705" w14:textId="3F0DA405" w:rsidR="008A4F7F" w:rsidRPr="00BF7F61" w:rsidRDefault="008A4F7F" w:rsidP="00267EE7">
      <w:pPr>
        <w:spacing w:after="0"/>
        <w:jc w:val="both"/>
        <w:rPr>
          <w:b/>
          <w:bCs/>
          <w:sz w:val="24"/>
          <w:szCs w:val="24"/>
        </w:rPr>
      </w:pPr>
      <w:r w:rsidRPr="00B92E7A">
        <w:rPr>
          <w:sz w:val="24"/>
          <w:szCs w:val="24"/>
        </w:rPr>
        <w:t xml:space="preserve">2. </w:t>
      </w:r>
      <w:r w:rsidR="00BF7F61" w:rsidRPr="00BF7F61">
        <w:rPr>
          <w:b/>
          <w:bCs/>
          <w:sz w:val="24"/>
          <w:szCs w:val="24"/>
        </w:rPr>
        <w:t>Presidential Authority as Head of Government</w:t>
      </w:r>
    </w:p>
    <w:p w14:paraId="44EEBDD6" w14:textId="7F939826" w:rsidR="00267EE7" w:rsidRPr="00BF7F61" w:rsidRDefault="00BF7F61" w:rsidP="00BF7F61">
      <w:pPr>
        <w:spacing w:after="0"/>
        <w:ind w:firstLine="720"/>
        <w:jc w:val="both"/>
        <w:rPr>
          <w:sz w:val="24"/>
          <w:szCs w:val="24"/>
          <w:lang w:val="id-ID"/>
        </w:rPr>
      </w:pPr>
      <w:r w:rsidRPr="00BF7F61">
        <w:rPr>
          <w:sz w:val="24"/>
          <w:szCs w:val="24"/>
        </w:rPr>
        <w:t>As head of government, the president holds extensive executive authority under Article 4(1) of the 1945 Constitution, which mandates the president to govern the state. This authority includes appointing and dismissing ministers (Article 17(2)), submitting draft laws (RUU) and the State Budget (APBN) to the DPR (Article 23(2)), and issuing government regulations to implement laws (Article 3(2))</w:t>
      </w:r>
      <w:r w:rsidR="00DC7CA2">
        <w:rPr>
          <w:sz w:val="24"/>
          <w:szCs w:val="24"/>
        </w:rPr>
        <w:t>.</w:t>
      </w:r>
      <w:r w:rsidR="00AC382F">
        <w:rPr>
          <w:rStyle w:val="FootnoteReference"/>
          <w:sz w:val="24"/>
          <w:szCs w:val="24"/>
        </w:rPr>
        <w:footnoteReference w:id="7"/>
      </w:r>
    </w:p>
    <w:p w14:paraId="220A2953" w14:textId="0879A03C" w:rsidR="00BF7F61" w:rsidRPr="00DC7CA2" w:rsidRDefault="00BF7F61" w:rsidP="00267EE7">
      <w:pPr>
        <w:spacing w:after="0"/>
        <w:ind w:firstLine="720"/>
        <w:jc w:val="both"/>
        <w:rPr>
          <w:sz w:val="24"/>
          <w:szCs w:val="24"/>
          <w:lang w:val="id-ID"/>
        </w:rPr>
      </w:pPr>
      <w:r w:rsidRPr="00BF7F61">
        <w:rPr>
          <w:sz w:val="24"/>
          <w:szCs w:val="24"/>
        </w:rPr>
        <w:t>The juridical analysis demonstrates that while the president has broad executive powers, the DPR plays a critical role in approving and overseeing presidential policies, reflecting the checks and balances inherent in Indonesia's presidential system.</w:t>
      </w:r>
    </w:p>
    <w:p w14:paraId="6F043E58" w14:textId="1EEEBBA8" w:rsidR="008A4F7F" w:rsidRPr="00F43AF7" w:rsidRDefault="008A4F7F" w:rsidP="00F43AF7">
      <w:pPr>
        <w:spacing w:after="0"/>
        <w:jc w:val="both"/>
        <w:rPr>
          <w:b/>
          <w:bCs/>
          <w:sz w:val="24"/>
          <w:szCs w:val="24"/>
        </w:rPr>
      </w:pPr>
      <w:r w:rsidRPr="00F43AF7">
        <w:rPr>
          <w:b/>
          <w:bCs/>
          <w:sz w:val="24"/>
          <w:szCs w:val="24"/>
        </w:rPr>
        <w:t xml:space="preserve">3. </w:t>
      </w:r>
      <w:r w:rsidR="009D137C" w:rsidRPr="009D137C">
        <w:rPr>
          <w:b/>
          <w:bCs/>
          <w:sz w:val="24"/>
          <w:szCs w:val="24"/>
        </w:rPr>
        <w:t>Limitations and Oversight Mechanisms of Presidential Authority</w:t>
      </w:r>
    </w:p>
    <w:p w14:paraId="515A538D" w14:textId="7C4363D8" w:rsidR="001B1B45" w:rsidRPr="001B1B45" w:rsidRDefault="00C94096" w:rsidP="001B1B45">
      <w:pPr>
        <w:spacing w:after="0"/>
        <w:ind w:firstLine="720"/>
        <w:jc w:val="both"/>
        <w:rPr>
          <w:sz w:val="24"/>
          <w:szCs w:val="24"/>
        </w:rPr>
      </w:pPr>
      <w:r w:rsidRPr="00C94096">
        <w:rPr>
          <w:sz w:val="24"/>
          <w:szCs w:val="24"/>
        </w:rPr>
        <w:t>Based on research findings, the Indonesian president’s authority is not absolute. The constitution and laws impose clear limitations on presidential powers to prevent abuse of authority. For example, the president’s power to issue Government Regulations in Lieu of Laws (</w:t>
      </w:r>
      <w:proofErr w:type="spellStart"/>
      <w:r w:rsidRPr="00C94096">
        <w:rPr>
          <w:sz w:val="24"/>
          <w:szCs w:val="24"/>
        </w:rPr>
        <w:t>Perppu</w:t>
      </w:r>
      <w:proofErr w:type="spellEnd"/>
      <w:r w:rsidRPr="00C94096">
        <w:rPr>
          <w:sz w:val="24"/>
          <w:szCs w:val="24"/>
        </w:rPr>
        <w:t>) requires approval from the House of Representatives (DPR) in the subsequent session (Article 22(1) of the 1945 Constitution)</w:t>
      </w:r>
      <w:r w:rsidR="00DC7CA2">
        <w:rPr>
          <w:sz w:val="24"/>
          <w:szCs w:val="24"/>
        </w:rPr>
        <w:t>.</w:t>
      </w:r>
      <w:r w:rsidR="00DC7CA2">
        <w:rPr>
          <w:rStyle w:val="FootnoteReference"/>
          <w:sz w:val="24"/>
          <w:szCs w:val="24"/>
        </w:rPr>
        <w:footnoteReference w:id="8"/>
      </w:r>
      <w:r w:rsidR="00267EE7">
        <w:rPr>
          <w:sz w:val="24"/>
          <w:szCs w:val="24"/>
        </w:rPr>
        <w:t xml:space="preserve"> </w:t>
      </w:r>
      <w:r w:rsidR="001B1B45" w:rsidRPr="001B1B45">
        <w:rPr>
          <w:sz w:val="24"/>
          <w:szCs w:val="24"/>
        </w:rPr>
        <w:t>This means the DPR is involved as a form of checks and balances to strengthen mutual oversight.</w:t>
      </w:r>
    </w:p>
    <w:p w14:paraId="617BCE37" w14:textId="1144176D" w:rsidR="008A4F7F" w:rsidRDefault="001B1B45" w:rsidP="001B1B45">
      <w:pPr>
        <w:spacing w:after="0"/>
        <w:ind w:firstLine="720"/>
        <w:jc w:val="both"/>
        <w:rPr>
          <w:sz w:val="24"/>
          <w:szCs w:val="24"/>
          <w:lang w:val="id-ID"/>
        </w:rPr>
      </w:pPr>
      <w:r w:rsidRPr="001B1B45">
        <w:rPr>
          <w:sz w:val="24"/>
          <w:szCs w:val="24"/>
        </w:rPr>
        <w:t>Additionally, the appointment of Supreme Court justices and members of judicial bodies must obtain DPR approval (Articles 24A, 24B, and 24C), demonstrating a control mechanism over the president’s power in the judicial domain. This mechanism is crucial to maintaining the independence of the judiciary and ensuring governance based on the rule of law.</w:t>
      </w:r>
    </w:p>
    <w:p w14:paraId="65A2F7A2" w14:textId="773611D9" w:rsidR="008A4F7F" w:rsidRPr="00F43AF7" w:rsidRDefault="008A4F7F" w:rsidP="00267EE7">
      <w:pPr>
        <w:spacing w:after="0"/>
        <w:jc w:val="both"/>
        <w:rPr>
          <w:b/>
          <w:bCs/>
          <w:sz w:val="24"/>
          <w:szCs w:val="24"/>
        </w:rPr>
      </w:pPr>
      <w:r w:rsidRPr="00F43AF7">
        <w:rPr>
          <w:b/>
          <w:bCs/>
          <w:sz w:val="24"/>
          <w:szCs w:val="24"/>
        </w:rPr>
        <w:t xml:space="preserve">4. </w:t>
      </w:r>
      <w:r w:rsidR="00427D8B" w:rsidRPr="00427D8B">
        <w:rPr>
          <w:b/>
          <w:bCs/>
          <w:sz w:val="24"/>
          <w:szCs w:val="24"/>
        </w:rPr>
        <w:t>Implications of Presidential Authority in the Presidential System</w:t>
      </w:r>
    </w:p>
    <w:p w14:paraId="1F110E6A" w14:textId="22B15A19" w:rsidR="00427D8B" w:rsidRPr="00427D8B" w:rsidRDefault="00427D8B" w:rsidP="00427D8B">
      <w:pPr>
        <w:spacing w:after="0"/>
        <w:ind w:firstLine="720"/>
        <w:jc w:val="both"/>
        <w:rPr>
          <w:sz w:val="24"/>
          <w:szCs w:val="24"/>
        </w:rPr>
      </w:pPr>
      <w:r w:rsidRPr="00427D8B">
        <w:rPr>
          <w:sz w:val="24"/>
          <w:szCs w:val="24"/>
        </w:rPr>
        <w:t>Based on an analysis of governmental legal literature, it can be concluded that presidential authority in Indonesia's presidential system provides stability and effectiveness in governance. However, such authority must be exercised responsibly and within clear legal boundaries to prevent conflicts between state institutions.</w:t>
      </w:r>
    </w:p>
    <w:p w14:paraId="6D396D54" w14:textId="6C62BB1E" w:rsidR="00427D8B" w:rsidRPr="00036BE4" w:rsidRDefault="00427D8B" w:rsidP="00427D8B">
      <w:pPr>
        <w:spacing w:after="0"/>
        <w:ind w:firstLine="720"/>
        <w:jc w:val="both"/>
        <w:rPr>
          <w:sz w:val="24"/>
          <w:szCs w:val="24"/>
        </w:rPr>
      </w:pPr>
      <w:r w:rsidRPr="00427D8B">
        <w:rPr>
          <w:sz w:val="24"/>
          <w:szCs w:val="24"/>
        </w:rPr>
        <w:lastRenderedPageBreak/>
        <w:t>Strengthening checks and balances among the president, the House of Representatives (DPR), and the judiciary is key to maintaining a balance of power and upholding democratic principles. Thus, while the president holds broad authority, it does not lead to authoritarianism but rather serves as an effective instrument for democratic and just governance.</w:t>
      </w:r>
    </w:p>
    <w:p w14:paraId="284AFB44" w14:textId="4A610004" w:rsidR="00703977" w:rsidRPr="00105018" w:rsidRDefault="00427D8B" w:rsidP="00105018">
      <w:pPr>
        <w:pBdr>
          <w:top w:val="nil"/>
          <w:left w:val="nil"/>
          <w:bottom w:val="nil"/>
          <w:right w:val="nil"/>
          <w:between w:val="nil"/>
        </w:pBdr>
        <w:spacing w:before="140" w:after="40" w:line="240" w:lineRule="auto"/>
        <w:rPr>
          <w:b/>
          <w:smallCaps/>
          <w:color w:val="000000"/>
          <w:sz w:val="24"/>
          <w:szCs w:val="24"/>
        </w:rPr>
      </w:pPr>
      <w:r w:rsidRPr="00427D8B">
        <w:rPr>
          <w:b/>
          <w:smallCaps/>
          <w:color w:val="000000"/>
          <w:sz w:val="24"/>
          <w:szCs w:val="24"/>
        </w:rPr>
        <w:t>DISCUSSION</w:t>
      </w:r>
    </w:p>
    <w:p w14:paraId="5F962A7B" w14:textId="7834EFAC" w:rsidR="00105018" w:rsidRPr="00DC7CA2" w:rsidRDefault="000942E8" w:rsidP="00DC7CA2">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id-ID"/>
        </w:rPr>
      </w:pPr>
      <w:r w:rsidRPr="000942E8">
        <w:rPr>
          <w:rFonts w:asciiTheme="minorHAnsi" w:hAnsiTheme="minorHAnsi" w:cstheme="minorHAnsi"/>
        </w:rPr>
        <w:t>Indonesia adopts a presidential system of government where the president serves a dual role as both head of state and head of government. This system establishes the president as the highest executive authority who is accountable not directly to the legislature, but to the constitution and the people through general elections. The president's powers under this system are comprehensively regulated by the 1945 Constitution and its amendments, which divide presidential authority into two primary domains: authority as head of state and authority as head of government</w:t>
      </w:r>
      <w:r w:rsidR="00105018" w:rsidRPr="00B92E7A">
        <w:rPr>
          <w:rFonts w:asciiTheme="minorHAnsi" w:hAnsiTheme="minorHAnsi" w:cstheme="minorHAnsi"/>
        </w:rPr>
        <w:t>.</w:t>
      </w:r>
      <w:r w:rsidR="00DC7CA2">
        <w:rPr>
          <w:rStyle w:val="FootnoteReference"/>
          <w:rFonts w:asciiTheme="minorHAnsi" w:hAnsiTheme="minorHAnsi" w:cstheme="minorHAnsi"/>
        </w:rPr>
        <w:footnoteReference w:id="9"/>
      </w:r>
    </w:p>
    <w:p w14:paraId="1EE8952A" w14:textId="438CFB6B" w:rsidR="00105018" w:rsidRPr="00036BE4" w:rsidRDefault="00256A32" w:rsidP="00256A32">
      <w:pPr>
        <w:pStyle w:val="Heading2"/>
        <w:pBdr>
          <w:top w:val="single" w:sz="2" w:space="0" w:color="E5E7EB"/>
          <w:left w:val="single" w:sz="2" w:space="0" w:color="E5E7EB"/>
          <w:bottom w:val="single" w:sz="2" w:space="0" w:color="E5E7EB"/>
          <w:right w:val="single" w:sz="2" w:space="0" w:color="E5E7EB"/>
        </w:pBdr>
        <w:spacing w:before="0" w:after="0"/>
        <w:jc w:val="both"/>
        <w:rPr>
          <w:sz w:val="24"/>
          <w:szCs w:val="24"/>
        </w:rPr>
      </w:pPr>
      <w:r w:rsidRPr="00256A32">
        <w:rPr>
          <w:bCs/>
          <w:sz w:val="24"/>
          <w:szCs w:val="24"/>
        </w:rPr>
        <w:t>Presidential Authority as Head of State</w:t>
      </w:r>
    </w:p>
    <w:p w14:paraId="38C07C04" w14:textId="1E27417F" w:rsidR="00256A32" w:rsidRPr="00256A32" w:rsidRDefault="00256A32" w:rsidP="00256A32">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rPr>
      </w:pPr>
      <w:r w:rsidRPr="00256A32">
        <w:rPr>
          <w:rFonts w:asciiTheme="minorHAnsi" w:hAnsiTheme="minorHAnsi" w:cstheme="minorHAnsi"/>
        </w:rPr>
        <w:t>As head of state, the president holds several strategic powers that are both symbolic and definitive in nature. Article 10 of the 1945 Constitution of the Republic of Indonesia explicitly states that the president holds supreme authority over the Army, Navy, and Air Force, establishing the president as the supreme commander of the nation's armed forces. This authority is crucial for maintaining national sovereignty and security.</w:t>
      </w:r>
    </w:p>
    <w:p w14:paraId="4F43C4BD" w14:textId="7A9D42D7" w:rsidR="00256A32" w:rsidRDefault="00256A32" w:rsidP="00256A32">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id-ID"/>
        </w:rPr>
      </w:pPr>
      <w:r w:rsidRPr="00256A32">
        <w:rPr>
          <w:rFonts w:asciiTheme="minorHAnsi" w:hAnsiTheme="minorHAnsi" w:cstheme="minorHAnsi"/>
        </w:rPr>
        <w:t xml:space="preserve">Furthermore, the president has the right to declare war, make peace, and enter into international treaties with other nations. However, these actions require approval from the House of Representatives (DPR) in accordance with Articles 11(1) and 11(2) of the 1945 Constitution. This legislative approval mechanism embodies the system of checks and balances in Indonesia's presidential system, serving to prevent </w:t>
      </w:r>
      <w:r w:rsidR="00C85A2E">
        <w:rPr>
          <w:rFonts w:asciiTheme="minorHAnsi" w:hAnsiTheme="minorHAnsi" w:cstheme="minorHAnsi"/>
        </w:rPr>
        <w:t xml:space="preserve">the </w:t>
      </w:r>
      <w:r w:rsidRPr="00256A32">
        <w:rPr>
          <w:rFonts w:asciiTheme="minorHAnsi" w:hAnsiTheme="minorHAnsi" w:cstheme="minorHAnsi"/>
        </w:rPr>
        <w:t>potential misuse of presidential authority in matters of foreign policy and national defense.</w:t>
      </w:r>
      <w:r w:rsidR="000A7DA6">
        <w:rPr>
          <w:rStyle w:val="FootnoteReference"/>
          <w:rFonts w:asciiTheme="minorHAnsi" w:hAnsiTheme="minorHAnsi" w:cstheme="minorHAnsi"/>
        </w:rPr>
        <w:footnoteReference w:id="10"/>
      </w:r>
    </w:p>
    <w:p w14:paraId="45E835AC" w14:textId="75DF6F08" w:rsidR="00256A32" w:rsidRPr="000A7DA6" w:rsidRDefault="00256A32" w:rsidP="00256A32">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id-ID"/>
        </w:rPr>
      </w:pPr>
      <w:r w:rsidRPr="00256A32">
        <w:rPr>
          <w:rFonts w:asciiTheme="minorHAnsi" w:hAnsiTheme="minorHAnsi" w:cstheme="minorHAnsi"/>
          <w:lang w:val="en-ID"/>
        </w:rPr>
        <w:t>The President also has the authority to declare a state of emergency (Article 12), appoint and receive ambassadors and consuls with the consideration of the House of Representatives (Article 13), as well as grant pardons, amnesties, abolitions, and rehabilitations with the consideration of the Supreme Court and the House of Representatives (Article 14). These powers affirm the President’s role as a symbol of national unity as well as the executor of state functions that are final and strategic in nature.</w:t>
      </w:r>
    </w:p>
    <w:p w14:paraId="182883D3" w14:textId="77777777" w:rsidR="00E164CE" w:rsidRPr="00E164CE" w:rsidRDefault="00E164CE" w:rsidP="00E164CE">
      <w:pPr>
        <w:spacing w:after="0"/>
        <w:rPr>
          <w:b/>
          <w:sz w:val="24"/>
          <w:szCs w:val="24"/>
        </w:rPr>
      </w:pPr>
      <w:r w:rsidRPr="00E164CE">
        <w:rPr>
          <w:b/>
          <w:sz w:val="24"/>
          <w:szCs w:val="24"/>
        </w:rPr>
        <w:t>The President’s Authority as Head of Government</w:t>
      </w:r>
    </w:p>
    <w:p w14:paraId="4F456715" w14:textId="77777777" w:rsidR="00E164CE" w:rsidRDefault="00E164CE" w:rsidP="00E164C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rPr>
      </w:pPr>
      <w:r w:rsidRPr="00E164CE">
        <w:rPr>
          <w:rFonts w:asciiTheme="minorHAnsi" w:hAnsiTheme="minorHAnsi" w:cstheme="minorHAnsi"/>
        </w:rPr>
        <w:t xml:space="preserve">As Head of Government, the President holds broad executive powers as stipulated in Article 4 paragraph (1) of the 1945 Constitution of the Republic of Indonesia, which states that the President holds the executive power of the state. This authority includes the appointment and dismissal of state ministers (Article 17 </w:t>
      </w:r>
      <w:r w:rsidRPr="00E164CE">
        <w:rPr>
          <w:rFonts w:asciiTheme="minorHAnsi" w:hAnsiTheme="minorHAnsi" w:cstheme="minorHAnsi"/>
        </w:rPr>
        <w:lastRenderedPageBreak/>
        <w:t>paragraph 2), the submission of draft laws (bills) to the House of Representatives (DPR) (Article 5 paragraph 1), the issuance of government regulations to implement laws (Article 5 paragraph 2), and the submission of the Draft State Budget (APBN) to be deliberated jointly with the DPR (Article 23 paragraph 2)</w:t>
      </w:r>
      <w:r w:rsidR="00105018" w:rsidRPr="00B92E7A">
        <w:rPr>
          <w:rFonts w:asciiTheme="minorHAnsi" w:hAnsiTheme="minorHAnsi" w:cstheme="minorHAnsi"/>
        </w:rPr>
        <w:t>.</w:t>
      </w:r>
      <w:r w:rsidR="000A7DA6">
        <w:rPr>
          <w:rStyle w:val="FootnoteReference"/>
          <w:rFonts w:asciiTheme="minorHAnsi" w:hAnsiTheme="minorHAnsi" w:cstheme="minorHAnsi"/>
          <w:lang w:val="id-ID"/>
        </w:rPr>
        <w:footnoteReference w:id="11"/>
      </w:r>
    </w:p>
    <w:p w14:paraId="69AE4093" w14:textId="77777777" w:rsidR="00E164CE" w:rsidRDefault="00E164CE" w:rsidP="00E164C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rPr>
      </w:pPr>
      <w:r w:rsidRPr="00E164CE">
        <w:rPr>
          <w:rFonts w:asciiTheme="minorHAnsi" w:hAnsiTheme="minorHAnsi" w:cstheme="minorHAnsi"/>
        </w:rPr>
        <w:t>The President may also establish an advisory council whose function is to provide advice and considerations to the President (Article 16). In addition, the President has the authority to issue government regulations in lieu of law (PERPU) in situations of emergency and urgent necessity (Article 22 paragraph 1). However, the issuance of a PERPU must be approved by the House of Representatives (DPR) in its next session, serving as a form of legislative oversight over executive power.</w:t>
      </w:r>
    </w:p>
    <w:p w14:paraId="6D0C7A7B" w14:textId="68FEF7E0" w:rsidR="00E164CE" w:rsidRPr="00E164CE" w:rsidRDefault="00E164CE" w:rsidP="00E164C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rPr>
      </w:pPr>
      <w:r w:rsidRPr="00E164CE">
        <w:rPr>
          <w:rFonts w:asciiTheme="minorHAnsi" w:hAnsiTheme="minorHAnsi" w:cstheme="minorHAnsi"/>
        </w:rPr>
        <w:t>Furthermore, the President has the authority to appoint Supreme Court justices from candidates proposed by the Judicial Commission and approved by the DPR (Article 24A paragraph 3), to appoint and dismiss members of the Judicial Commission with the approval of the DPR (Article 24B paragraph 3), and to appoint constitutional justices based on nominations from the Supreme Court, the DPR, and the President (Article 24C paragraph 3). These mechanisms reflect a system of checks and balances in the judiciary aimed at preserving judicial independence.</w:t>
      </w:r>
    </w:p>
    <w:p w14:paraId="6C6E3014" w14:textId="77777777" w:rsidR="00440F6C" w:rsidRDefault="00440F6C" w:rsidP="00440F6C">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Calibri" w:eastAsia="Calibri" w:hAnsi="Calibri" w:cs="Calibri"/>
          <w:b/>
          <w:lang w:eastAsia="id-ID"/>
        </w:rPr>
      </w:pPr>
      <w:r w:rsidRPr="00440F6C">
        <w:rPr>
          <w:rFonts w:ascii="Calibri" w:eastAsia="Calibri" w:hAnsi="Calibri" w:cs="Calibri"/>
          <w:b/>
          <w:lang w:eastAsia="id-ID"/>
        </w:rPr>
        <w:t>The Principle of Checks and Balances in Indonesia’s Presidential System</w:t>
      </w:r>
    </w:p>
    <w:p w14:paraId="73FAD144" w14:textId="77777777" w:rsidR="00440F6C" w:rsidRPr="00440F6C" w:rsidRDefault="00440F6C" w:rsidP="00440F6C">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en-ID"/>
        </w:rPr>
      </w:pPr>
      <w:r w:rsidRPr="00440F6C">
        <w:rPr>
          <w:rFonts w:asciiTheme="minorHAnsi" w:hAnsiTheme="minorHAnsi" w:cstheme="minorHAnsi"/>
          <w:lang w:val="en-ID"/>
        </w:rPr>
        <w:t>Indonesia's presidential system emphasizes the principle of the separation of powers and the mechanism of checks and balances among the executive, legislative, and judicial branches. Although the President holds broad executive powers, such authority is not absolute. The House of Representatives (DPR) plays a crucial role in approving presidential policies, including the enactment of laws, budget oversight, and ratification of international agreements.</w:t>
      </w:r>
    </w:p>
    <w:p w14:paraId="2A4B0DA2" w14:textId="77777777" w:rsidR="00FD3C73" w:rsidRDefault="00440F6C" w:rsidP="00FD3C73">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en-ID"/>
        </w:rPr>
      </w:pPr>
      <w:r w:rsidRPr="00440F6C">
        <w:rPr>
          <w:rFonts w:asciiTheme="minorHAnsi" w:hAnsiTheme="minorHAnsi" w:cstheme="minorHAnsi"/>
          <w:lang w:val="en-ID"/>
        </w:rPr>
        <w:t>This differs from a parliamentary system, where the head of government is directly accountable to the parliament. In a presidential system, the President is elected directly by the people and cannot be dissolved by the DPR, thus providing political stability and continuity of governance. However, the President’s powers remain limited by the Constitution and various oversight mechanisms to prevent the abuse of power</w:t>
      </w:r>
      <w:r w:rsidR="00105018" w:rsidRPr="00B92E7A">
        <w:rPr>
          <w:rFonts w:asciiTheme="minorHAnsi" w:hAnsiTheme="minorHAnsi" w:cstheme="minorHAnsi"/>
        </w:rPr>
        <w:t>.</w:t>
      </w:r>
      <w:r w:rsidR="000A7DA6">
        <w:rPr>
          <w:rStyle w:val="FootnoteReference"/>
          <w:rFonts w:asciiTheme="minorHAnsi" w:hAnsiTheme="minorHAnsi" w:cstheme="minorHAnsi"/>
        </w:rPr>
        <w:footnoteReference w:id="12"/>
      </w:r>
    </w:p>
    <w:p w14:paraId="20EE5812" w14:textId="20063C7B" w:rsidR="00FD3C73" w:rsidRPr="00FD3C73" w:rsidRDefault="00FD3C73" w:rsidP="00FD3C73">
      <w:pPr>
        <w:pStyle w:val="my-0"/>
        <w:pBdr>
          <w:top w:val="single" w:sz="2" w:space="0" w:color="E5E7EB"/>
          <w:left w:val="single" w:sz="2" w:space="0" w:color="E5E7EB"/>
          <w:bottom w:val="single" w:sz="2" w:space="0" w:color="E5E7EB"/>
          <w:right w:val="single" w:sz="2" w:space="0" w:color="E5E7EB"/>
        </w:pBdr>
        <w:spacing w:before="0" w:beforeAutospacing="0" w:after="0" w:afterAutospacing="0"/>
        <w:jc w:val="both"/>
        <w:rPr>
          <w:rFonts w:asciiTheme="minorHAnsi" w:hAnsiTheme="minorHAnsi" w:cstheme="minorHAnsi"/>
          <w:lang w:val="en-ID"/>
        </w:rPr>
      </w:pPr>
      <w:r w:rsidRPr="00FD3C73">
        <w:rPr>
          <w:rFonts w:ascii="Calibri" w:eastAsia="Calibri" w:hAnsi="Calibri" w:cs="Calibri"/>
          <w:b/>
          <w:lang w:eastAsia="id-ID"/>
        </w:rPr>
        <w:t>Implications of Presidential Authority in Government Administration</w:t>
      </w:r>
    </w:p>
    <w:p w14:paraId="16C12CC0" w14:textId="77777777" w:rsidR="005C0DE4" w:rsidRDefault="00FD3C73" w:rsidP="005C0DE4">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bCs/>
        </w:rPr>
      </w:pPr>
      <w:r w:rsidRPr="00FD3C73">
        <w:rPr>
          <w:rFonts w:ascii="Calibri" w:eastAsia="Calibri" w:hAnsi="Calibri" w:cs="Calibri"/>
          <w:bCs/>
          <w:lang w:eastAsia="id-ID"/>
        </w:rPr>
        <w:t>The President’s broad authority within the presidential system allows for effective and swift decision-making, particularly in the areas of foreign policy, defense, and public administration. However, this authority must be exercised responsibly and transparently to prevent conflicts between state institutions and to uphold the principles of democracy and the rule of law</w:t>
      </w:r>
      <w:r w:rsidR="00105018" w:rsidRPr="00FD3C73">
        <w:rPr>
          <w:rFonts w:asciiTheme="minorHAnsi" w:hAnsiTheme="minorHAnsi" w:cstheme="minorHAnsi"/>
          <w:bCs/>
        </w:rPr>
        <w:t>.</w:t>
      </w:r>
      <w:r w:rsidR="000A7DA6">
        <w:rPr>
          <w:rStyle w:val="FootnoteReference"/>
          <w:rFonts w:asciiTheme="minorHAnsi" w:hAnsiTheme="minorHAnsi" w:cstheme="minorHAnsi"/>
        </w:rPr>
        <w:footnoteReference w:id="13"/>
      </w:r>
    </w:p>
    <w:p w14:paraId="1F615D7E" w14:textId="57ACAEF7" w:rsidR="005C0DE4" w:rsidRPr="005C0DE4" w:rsidRDefault="005C0DE4" w:rsidP="005C0DE4">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cstheme="minorHAnsi"/>
          <w:lang w:val="id-ID"/>
        </w:rPr>
      </w:pPr>
      <w:r w:rsidRPr="005C0DE4">
        <w:rPr>
          <w:rFonts w:asciiTheme="minorHAnsi" w:hAnsiTheme="minorHAnsi" w:cstheme="minorHAnsi"/>
          <w:lang w:val="en-ID"/>
        </w:rPr>
        <w:t xml:space="preserve">Strengthening the mechanism of checks and balances among the President, the House of Representatives (DPR), and the judiciary is a key factor in maintaining the balance of power and ensuring that presidential authority does not evolve into </w:t>
      </w:r>
      <w:r w:rsidRPr="005C0DE4">
        <w:rPr>
          <w:rFonts w:asciiTheme="minorHAnsi" w:hAnsiTheme="minorHAnsi" w:cstheme="minorHAnsi"/>
          <w:lang w:val="en-ID"/>
        </w:rPr>
        <w:lastRenderedPageBreak/>
        <w:t>authoritarianism. In this way, Indonesia’s presidential system can guarantee a democratic, just, and constitution-based administration of government.</w:t>
      </w:r>
    </w:p>
    <w:p w14:paraId="279C5458" w14:textId="65181711" w:rsidR="00895379" w:rsidRPr="00F43AF7" w:rsidRDefault="005C0DE4" w:rsidP="005A3AFC">
      <w:pPr>
        <w:pBdr>
          <w:top w:val="nil"/>
          <w:left w:val="nil"/>
          <w:bottom w:val="nil"/>
          <w:right w:val="nil"/>
          <w:between w:val="nil"/>
        </w:pBdr>
        <w:spacing w:before="140" w:after="40" w:line="240" w:lineRule="auto"/>
        <w:rPr>
          <w:rFonts w:asciiTheme="minorHAnsi" w:hAnsiTheme="minorHAnsi" w:cstheme="minorHAnsi"/>
          <w:b/>
          <w:smallCaps/>
          <w:color w:val="000000"/>
          <w:sz w:val="24"/>
          <w:szCs w:val="24"/>
        </w:rPr>
      </w:pPr>
      <w:r w:rsidRPr="005C0DE4">
        <w:rPr>
          <w:rFonts w:asciiTheme="minorHAnsi" w:hAnsiTheme="minorHAnsi" w:cstheme="minorHAnsi"/>
          <w:b/>
          <w:smallCaps/>
          <w:color w:val="000000"/>
          <w:sz w:val="24"/>
          <w:szCs w:val="24"/>
        </w:rPr>
        <w:t>CONCLUSIONS</w:t>
      </w:r>
    </w:p>
    <w:p w14:paraId="402EFCD2" w14:textId="77777777" w:rsidR="004B7C7E" w:rsidRPr="004B7C7E" w:rsidRDefault="004B7C7E" w:rsidP="004B7C7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lang w:val="en-ID"/>
        </w:rPr>
      </w:pPr>
      <w:r w:rsidRPr="004B7C7E">
        <w:rPr>
          <w:rFonts w:asciiTheme="minorHAnsi" w:hAnsiTheme="minorHAnsi"/>
          <w:lang w:val="en-ID"/>
        </w:rPr>
        <w:t xml:space="preserve">The President’s authority in Indonesia is comprehensively regulated by the 1945 Constitution, which outlines the President’s dual role as both Head of State and Head of Government. The President holds broad powers in areas such as foreign affairs, national </w:t>
      </w:r>
      <w:proofErr w:type="spellStart"/>
      <w:r w:rsidRPr="004B7C7E">
        <w:rPr>
          <w:rFonts w:asciiTheme="minorHAnsi" w:hAnsiTheme="minorHAnsi"/>
          <w:lang w:val="en-ID"/>
        </w:rPr>
        <w:t>defense</w:t>
      </w:r>
      <w:proofErr w:type="spellEnd"/>
      <w:r w:rsidRPr="004B7C7E">
        <w:rPr>
          <w:rFonts w:asciiTheme="minorHAnsi" w:hAnsiTheme="minorHAnsi"/>
          <w:lang w:val="en-ID"/>
        </w:rPr>
        <w:t>, and the administration of government. However, this authority is not absolute. The Constitution establishes a system of oversight through the approval and consideration of legislative bodies (the House of Representatives) and judicial institutions (the Supreme Court and the Constitutional Court), serving as mechanisms of checks and balances to prevent the concentration of power in the presidency.</w:t>
      </w:r>
    </w:p>
    <w:p w14:paraId="4315E12B" w14:textId="77777777" w:rsidR="004B7C7E" w:rsidRDefault="004B7C7E" w:rsidP="004B7C7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lang w:val="en-ID"/>
        </w:rPr>
      </w:pPr>
      <w:r w:rsidRPr="004B7C7E">
        <w:rPr>
          <w:rFonts w:asciiTheme="minorHAnsi" w:hAnsiTheme="minorHAnsi"/>
          <w:lang w:val="en-ID"/>
        </w:rPr>
        <w:t>In practice, the implementation of these powers depends significantly on the effectiveness of inter-institutional relations and the quality of governance based on the rule of law. Thus, Indonesia’s presidential system provides a strong foundation for governmental stability and efficiency, but it also requires that governance be carried out in a constitutional, transparent, and accountable manner. A democratic government cannot rely solely on institutional design</w:t>
      </w:r>
      <w:r>
        <w:rPr>
          <w:rFonts w:asciiTheme="minorHAnsi" w:hAnsiTheme="minorHAnsi"/>
          <w:lang w:val="en-ID"/>
        </w:rPr>
        <w:t>-</w:t>
      </w:r>
      <w:r w:rsidRPr="004B7C7E">
        <w:rPr>
          <w:rFonts w:asciiTheme="minorHAnsi" w:hAnsiTheme="minorHAnsi"/>
          <w:lang w:val="en-ID"/>
        </w:rPr>
        <w:t>it also depends on a legal culture and political ethics that constrain the abuse of power.</w:t>
      </w:r>
    </w:p>
    <w:p w14:paraId="6059F6F6" w14:textId="77777777" w:rsidR="004B7C7E" w:rsidRDefault="004B7C7E" w:rsidP="004B7C7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lang w:val="id-ID"/>
        </w:rPr>
      </w:pPr>
      <w:r w:rsidRPr="004B7C7E">
        <w:rPr>
          <w:rFonts w:asciiTheme="minorHAnsi" w:hAnsiTheme="minorHAnsi"/>
          <w:lang w:val="id-ID"/>
        </w:rPr>
        <w:t>As a contribution to the development of constitutional law studies, this research opens an important space for further examination of the actual implementation of presidential authority in governance, particularly in crisis situations—such as the issuance of government regulations in lieu of law (PERPPU) or the declaration of a state of emergency. On the other hand, empirical studies on the extent to which legislative and judicial institutions exercise oversight over executive actions are also necessary to strengthen a functional checks-and-balances system.</w:t>
      </w:r>
    </w:p>
    <w:p w14:paraId="370371A3" w14:textId="55B91D5B" w:rsidR="000A7DA6" w:rsidRPr="004B7C7E" w:rsidRDefault="004B7C7E" w:rsidP="004B7C7E">
      <w:pPr>
        <w:pStyle w:val="my-0"/>
        <w:pBdr>
          <w:top w:val="single" w:sz="2" w:space="0" w:color="E5E7EB"/>
          <w:left w:val="single" w:sz="2" w:space="0" w:color="E5E7EB"/>
          <w:bottom w:val="single" w:sz="2" w:space="0" w:color="E5E7EB"/>
          <w:right w:val="single" w:sz="2" w:space="0" w:color="E5E7EB"/>
        </w:pBdr>
        <w:spacing w:before="0" w:beforeAutospacing="0" w:after="0" w:afterAutospacing="0"/>
        <w:ind w:firstLine="720"/>
        <w:jc w:val="both"/>
        <w:rPr>
          <w:rFonts w:asciiTheme="minorHAnsi" w:hAnsiTheme="minorHAnsi"/>
          <w:lang w:val="en-ID"/>
        </w:rPr>
      </w:pPr>
      <w:r w:rsidRPr="004B7C7E">
        <w:rPr>
          <w:rFonts w:asciiTheme="minorHAnsi" w:hAnsiTheme="minorHAnsi"/>
          <w:lang w:val="id-ID"/>
        </w:rPr>
        <w:t>For future research, a comparative study between Indonesia’s presidential system and those of other countries with similar characteristics is recommended to evaluate the effectiveness of mechanisms limiting presidential power across different political and legal contexts. Additionally, it is crucial to develop interdisciplinary research examining the impact of presidential authority on democratic quality and citizens' human rights in the digital and post-pandemic era. Such studies would complement normative legal approaches with empirical and contextual data, thereby producing a more comprehensive and relevant analysis of modern governance challenges.</w:t>
      </w:r>
    </w:p>
    <w:p w14:paraId="1A2B50FC" w14:textId="783198FC" w:rsidR="005A3AFC" w:rsidRPr="005A3AFC" w:rsidRDefault="00BD4D3C" w:rsidP="005A3AFC">
      <w:pPr>
        <w:pBdr>
          <w:top w:val="nil"/>
          <w:left w:val="nil"/>
          <w:bottom w:val="nil"/>
          <w:right w:val="nil"/>
          <w:between w:val="nil"/>
        </w:pBdr>
        <w:spacing w:before="140" w:after="40" w:line="240" w:lineRule="auto"/>
        <w:rPr>
          <w:b/>
          <w:smallCaps/>
          <w:color w:val="000000"/>
          <w:sz w:val="24"/>
          <w:szCs w:val="24"/>
        </w:rPr>
      </w:pPr>
      <w:r w:rsidRPr="00BD4D3C">
        <w:rPr>
          <w:b/>
          <w:smallCaps/>
          <w:color w:val="000000"/>
          <w:sz w:val="24"/>
          <w:szCs w:val="24"/>
        </w:rPr>
        <w:t>REFERENCES</w:t>
      </w:r>
    </w:p>
    <w:p w14:paraId="0ACE9410" w14:textId="77777777" w:rsidR="00AC382F" w:rsidRPr="00AC382F" w:rsidRDefault="00981A5A" w:rsidP="00640C73">
      <w:pPr>
        <w:widowControl w:val="0"/>
        <w:autoSpaceDE w:val="0"/>
        <w:autoSpaceDN w:val="0"/>
        <w:adjustRightInd w:val="0"/>
        <w:spacing w:after="0" w:line="240" w:lineRule="auto"/>
        <w:ind w:left="480" w:hanging="480"/>
        <w:jc w:val="both"/>
        <w:rPr>
          <w:noProof/>
          <w:szCs w:val="24"/>
        </w:rPr>
      </w:pPr>
      <w:r w:rsidRPr="00B167DF">
        <w:rPr>
          <w:rFonts w:asciiTheme="minorHAnsi" w:hAnsiTheme="minorHAnsi" w:cstheme="minorHAnsi"/>
          <w:color w:val="000000"/>
        </w:rPr>
        <w:fldChar w:fldCharType="begin" w:fldLock="1"/>
      </w:r>
      <w:r w:rsidR="00B167DF" w:rsidRPr="00B167DF">
        <w:rPr>
          <w:rFonts w:asciiTheme="minorHAnsi" w:hAnsiTheme="minorHAnsi" w:cstheme="minorHAnsi"/>
          <w:color w:val="000000"/>
        </w:rPr>
        <w:instrText xml:space="preserve">ADDIN Mendeley Bibliography CSL_BIBLIOGRAPHY </w:instrText>
      </w:r>
      <w:r w:rsidRPr="00B167DF">
        <w:rPr>
          <w:rFonts w:asciiTheme="minorHAnsi" w:hAnsiTheme="minorHAnsi" w:cstheme="minorHAnsi"/>
          <w:color w:val="000000"/>
        </w:rPr>
        <w:fldChar w:fldCharType="separate"/>
      </w:r>
      <w:r w:rsidR="00AC382F" w:rsidRPr="00AC382F">
        <w:rPr>
          <w:noProof/>
          <w:szCs w:val="24"/>
        </w:rPr>
        <w:t xml:space="preserve">Andiko, Toha. “Syura Dan Demokrasi Barat: Kritik Dan Solusi Menuju Demokrasi Islam.” </w:t>
      </w:r>
      <w:r w:rsidR="00AC382F" w:rsidRPr="00AC382F">
        <w:rPr>
          <w:i/>
          <w:iCs/>
          <w:noProof/>
          <w:szCs w:val="24"/>
        </w:rPr>
        <w:t>Al Imarah : Jurnal Pemerintahan Dan Politik Islam</w:t>
      </w:r>
      <w:r w:rsidR="00AC382F" w:rsidRPr="00AC382F">
        <w:rPr>
          <w:noProof/>
          <w:szCs w:val="24"/>
        </w:rPr>
        <w:t xml:space="preserve"> 2, no. 2 (2018): 99–114. https://doi.org/10.29300/imr.v2i2.1093.</w:t>
      </w:r>
    </w:p>
    <w:p w14:paraId="3212EC5A" w14:textId="77777777"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t xml:space="preserve">Budiman, Muslimin. “Kekuasaan Presiden Dalam Sistem Pemerintahan Presidensil.” </w:t>
      </w:r>
      <w:r w:rsidRPr="00AC382F">
        <w:rPr>
          <w:i/>
          <w:iCs/>
          <w:noProof/>
          <w:szCs w:val="24"/>
        </w:rPr>
        <w:t>Al-Ishlah : Jurnal Ilmiah Hukum</w:t>
      </w:r>
      <w:r w:rsidRPr="00AC382F">
        <w:rPr>
          <w:noProof/>
          <w:szCs w:val="24"/>
        </w:rPr>
        <w:t xml:space="preserve"> 20, no. 1 (2023): 29–47. https://doi.org/10.33096/aijih.v20i1.5.</w:t>
      </w:r>
    </w:p>
    <w:p w14:paraId="005656CE" w14:textId="5F65541C"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t>Monteiro, osef M. “</w:t>
      </w:r>
      <w:r w:rsidR="0048556D" w:rsidRPr="00AC382F">
        <w:rPr>
          <w:noProof/>
          <w:szCs w:val="24"/>
        </w:rPr>
        <w:t>Perpaduan Presidensial Dan Parlementer Dalam Sistem Pemerintahan RI,</w:t>
      </w:r>
      <w:r w:rsidRPr="00AC382F">
        <w:rPr>
          <w:noProof/>
          <w:szCs w:val="24"/>
        </w:rPr>
        <w:t>” 2022, 282–84. https://media.neliti.com/media/publications/81269-ID-perpaduan-presidensial-dan-parlementer-d.pdf.</w:t>
      </w:r>
    </w:p>
    <w:p w14:paraId="0B4CD749" w14:textId="77777777"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t xml:space="preserve">Paputungan, Merdiansa, and Zainal Arifin Hoesein. “Pembatasan Kekuasaan Presiden Dalam Melakukan Perjanjian Pinjaman Luar Negeri Pasca Amandemen UUD 1945.” </w:t>
      </w:r>
      <w:r w:rsidRPr="00AC382F">
        <w:rPr>
          <w:i/>
          <w:iCs/>
          <w:noProof/>
          <w:szCs w:val="24"/>
        </w:rPr>
        <w:t>Jurnal Konstitusi</w:t>
      </w:r>
      <w:r w:rsidRPr="00AC382F">
        <w:rPr>
          <w:noProof/>
          <w:szCs w:val="24"/>
        </w:rPr>
        <w:t xml:space="preserve"> 17, no. 2 (2020): 388. https://doi.org/10.31078/jk1728.</w:t>
      </w:r>
    </w:p>
    <w:p w14:paraId="1DEBB2B6" w14:textId="77777777"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lastRenderedPageBreak/>
        <w:t xml:space="preserve">Prayitno, Cipto. “Analisis Konstitusionalitas Batasan Kewenangan Presiden Dalam Penetapan Peraturan Pemerintah Pengganti Undang-Undang.” </w:t>
      </w:r>
      <w:r w:rsidRPr="00AC382F">
        <w:rPr>
          <w:i/>
          <w:iCs/>
          <w:noProof/>
          <w:szCs w:val="24"/>
        </w:rPr>
        <w:t>Jurnal Konstitusi</w:t>
      </w:r>
      <w:r w:rsidRPr="00AC382F">
        <w:rPr>
          <w:noProof/>
          <w:szCs w:val="24"/>
        </w:rPr>
        <w:t xml:space="preserve"> 17, no. 3 (2020): 513. https://doi.org/10.31078/jk1733.</w:t>
      </w:r>
    </w:p>
    <w:p w14:paraId="7633B1E4" w14:textId="26642519"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t xml:space="preserve">Sihombing, Eka NAM, and Cynthia Hadita. “Kewenangan Presiden Membentuk Undang-Undang Dalam Sistem Presidensial.” </w:t>
      </w:r>
      <w:r w:rsidRPr="00AC382F">
        <w:rPr>
          <w:i/>
          <w:iCs/>
          <w:noProof/>
          <w:szCs w:val="24"/>
        </w:rPr>
        <w:t>Reformasi Hukum</w:t>
      </w:r>
      <w:r w:rsidRPr="00AC382F">
        <w:rPr>
          <w:noProof/>
          <w:szCs w:val="24"/>
        </w:rPr>
        <w:t xml:space="preserve"> 27, no. 1 (2023): 14–24. https://doi.org/10.46257/jrh.v27i1.491.</w:t>
      </w:r>
    </w:p>
    <w:p w14:paraId="383C7B37" w14:textId="77777777" w:rsidR="00AC382F" w:rsidRPr="00AC382F" w:rsidRDefault="00AC382F" w:rsidP="00640C73">
      <w:pPr>
        <w:widowControl w:val="0"/>
        <w:autoSpaceDE w:val="0"/>
        <w:autoSpaceDN w:val="0"/>
        <w:adjustRightInd w:val="0"/>
        <w:spacing w:after="0" w:line="240" w:lineRule="auto"/>
        <w:ind w:left="480" w:hanging="480"/>
        <w:jc w:val="both"/>
        <w:rPr>
          <w:noProof/>
          <w:szCs w:val="24"/>
        </w:rPr>
      </w:pPr>
      <w:r w:rsidRPr="00AC382F">
        <w:rPr>
          <w:noProof/>
          <w:szCs w:val="24"/>
        </w:rPr>
        <w:t xml:space="preserve">Sudirman. “Kedudukan Presiden Dalam Sistem Pemerintahan Presidensial (Telaah Terhadap Kedudukan Dan Hubungan Presiden Dengan Lembaga Negara Yang Lain Dalam Undang-Undang Dasar NRI Tahun 1945).” </w:t>
      </w:r>
      <w:r w:rsidRPr="00AC382F">
        <w:rPr>
          <w:i/>
          <w:iCs/>
          <w:noProof/>
          <w:szCs w:val="24"/>
        </w:rPr>
        <w:t>Jurnal Mahasiswa Fakultas Hukum, Universitas Brawijaya</w:t>
      </w:r>
      <w:r w:rsidRPr="00AC382F">
        <w:rPr>
          <w:noProof/>
          <w:szCs w:val="24"/>
        </w:rPr>
        <w:t xml:space="preserve"> 1, no. 1 (2021): 1–27. http://hukum.studentjournal.ub.ac.id/index.php/hukum/article/view/526.</w:t>
      </w:r>
    </w:p>
    <w:p w14:paraId="2696B772" w14:textId="7113B7D9" w:rsidR="00585323" w:rsidRDefault="00981A5A" w:rsidP="00640C73">
      <w:pPr>
        <w:widowControl w:val="0"/>
        <w:autoSpaceDE w:val="0"/>
        <w:autoSpaceDN w:val="0"/>
        <w:adjustRightInd w:val="0"/>
        <w:spacing w:after="0" w:line="240" w:lineRule="auto"/>
        <w:ind w:left="480" w:hanging="480"/>
        <w:jc w:val="both"/>
      </w:pPr>
      <w:r w:rsidRPr="00B167DF">
        <w:rPr>
          <w:rFonts w:asciiTheme="minorHAnsi" w:hAnsiTheme="minorHAnsi" w:cstheme="minorHAnsi"/>
          <w:color w:val="000000"/>
        </w:rPr>
        <w:fldChar w:fldCharType="end"/>
      </w:r>
      <w:r w:rsidR="004C3787" w:rsidRPr="004C3787">
        <w:t xml:space="preserve"> </w:t>
      </w:r>
      <w:proofErr w:type="spellStart"/>
      <w:r w:rsidR="004C3787" w:rsidRPr="0049252F">
        <w:t>Widiarty</w:t>
      </w:r>
      <w:proofErr w:type="spellEnd"/>
      <w:r w:rsidR="004C3787" w:rsidRPr="0049252F">
        <w:t xml:space="preserve">, </w:t>
      </w:r>
      <w:proofErr w:type="spellStart"/>
      <w:r w:rsidR="004C3787" w:rsidRPr="0049252F">
        <w:t>Wiwik</w:t>
      </w:r>
      <w:proofErr w:type="spellEnd"/>
      <w:r w:rsidR="004C3787" w:rsidRPr="0049252F">
        <w:t xml:space="preserve"> Sri</w:t>
      </w:r>
      <w:r w:rsidR="004C3787">
        <w:t xml:space="preserve">. </w:t>
      </w:r>
      <w:r w:rsidR="004C3787" w:rsidRPr="0049252F">
        <w:t>(2024)</w:t>
      </w:r>
      <w:r w:rsidR="004C3787">
        <w:t>.</w:t>
      </w:r>
      <w:r w:rsidR="004C3787" w:rsidRPr="0049252F">
        <w:t> </w:t>
      </w:r>
      <w:proofErr w:type="spellStart"/>
      <w:r w:rsidR="004C3787" w:rsidRPr="0049252F">
        <w:rPr>
          <w:i/>
          <w:iCs/>
        </w:rPr>
        <w:t>Buku</w:t>
      </w:r>
      <w:proofErr w:type="spellEnd"/>
      <w:r w:rsidR="004C3787" w:rsidRPr="0049252F">
        <w:rPr>
          <w:i/>
          <w:iCs/>
        </w:rPr>
        <w:t xml:space="preserve"> Ajar Metode </w:t>
      </w:r>
      <w:proofErr w:type="spellStart"/>
      <w:r w:rsidR="004C3787" w:rsidRPr="0049252F">
        <w:rPr>
          <w:i/>
          <w:iCs/>
        </w:rPr>
        <w:t>Penelitian</w:t>
      </w:r>
      <w:proofErr w:type="spellEnd"/>
      <w:r w:rsidR="004C3787" w:rsidRPr="0049252F">
        <w:rPr>
          <w:i/>
          <w:iCs/>
        </w:rPr>
        <w:t xml:space="preserve"> Hukum.</w:t>
      </w:r>
      <w:r w:rsidR="004C3787" w:rsidRPr="0049252F">
        <w:t> </w:t>
      </w:r>
      <w:proofErr w:type="spellStart"/>
      <w:r w:rsidR="004C3787" w:rsidRPr="0049252F">
        <w:t>Publika</w:t>
      </w:r>
      <w:proofErr w:type="spellEnd"/>
      <w:r w:rsidR="004C3787" w:rsidRPr="0049252F">
        <w:t xml:space="preserve"> Global Media</w:t>
      </w:r>
      <w:r w:rsidR="004C3787">
        <w:t xml:space="preserve">: </w:t>
      </w:r>
      <w:r w:rsidR="004C3787" w:rsidRPr="0049252F">
        <w:t>Kota Yogyakarta</w:t>
      </w:r>
      <w:r w:rsidR="004C3787">
        <w:t>.</w:t>
      </w:r>
    </w:p>
    <w:p w14:paraId="7F5DFAD0" w14:textId="255B8B1F" w:rsidR="004C3787" w:rsidRDefault="004C3787" w:rsidP="00640C73">
      <w:pPr>
        <w:widowControl w:val="0"/>
        <w:autoSpaceDE w:val="0"/>
        <w:autoSpaceDN w:val="0"/>
        <w:adjustRightInd w:val="0"/>
        <w:spacing w:after="0" w:line="240" w:lineRule="auto"/>
        <w:ind w:left="480" w:hanging="480"/>
        <w:jc w:val="both"/>
        <w:rPr>
          <w:noProof/>
          <w:szCs w:val="24"/>
        </w:rPr>
      </w:pPr>
      <w:r w:rsidRPr="00AC382F">
        <w:rPr>
          <w:noProof/>
          <w:szCs w:val="24"/>
        </w:rPr>
        <w:t>Undang-undang</w:t>
      </w:r>
      <w:r>
        <w:rPr>
          <w:noProof/>
          <w:szCs w:val="24"/>
        </w:rPr>
        <w:t xml:space="preserve"> Dasar </w:t>
      </w:r>
      <w:r w:rsidRPr="00AC382F">
        <w:rPr>
          <w:noProof/>
          <w:szCs w:val="24"/>
        </w:rPr>
        <w:t>Negara Republik Indonesia Tahun</w:t>
      </w:r>
      <w:r>
        <w:rPr>
          <w:noProof/>
          <w:szCs w:val="24"/>
        </w:rPr>
        <w:t xml:space="preserve"> 1945</w:t>
      </w:r>
    </w:p>
    <w:p w14:paraId="2AF99EDE" w14:textId="45508251" w:rsidR="004B7C7E" w:rsidRPr="004B7C7E" w:rsidRDefault="004B7C7E" w:rsidP="004B7C7E">
      <w:pPr>
        <w:tabs>
          <w:tab w:val="left" w:pos="7410"/>
        </w:tabs>
        <w:rPr>
          <w:szCs w:val="24"/>
        </w:rPr>
      </w:pPr>
      <w:r>
        <w:rPr>
          <w:szCs w:val="24"/>
        </w:rPr>
        <w:tab/>
      </w:r>
    </w:p>
    <w:sectPr w:rsidR="004B7C7E" w:rsidRPr="004B7C7E" w:rsidSect="000C3EA4">
      <w:footerReference w:type="even" r:id="rId12"/>
      <w:footerReference w:type="default" r:id="rId13"/>
      <w:footerReference w:type="first" r:id="rId14"/>
      <w:pgSz w:w="12240" w:h="15840"/>
      <w:pgMar w:top="425" w:right="1440" w:bottom="1440" w:left="2268"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AD3B6" w14:textId="77777777" w:rsidR="00112024" w:rsidRDefault="00112024">
      <w:pPr>
        <w:spacing w:after="0" w:line="240" w:lineRule="auto"/>
      </w:pPr>
      <w:r>
        <w:separator/>
      </w:r>
    </w:p>
  </w:endnote>
  <w:endnote w:type="continuationSeparator" w:id="0">
    <w:p w14:paraId="4EEB3AAB" w14:textId="77777777" w:rsidR="00112024" w:rsidRDefault="0011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4D3BA238-F2E7-47C4-9FE7-589441952C58}"/>
    <w:embedBold r:id="rId2" w:fontKey="{213995D9-D0EE-49E4-AC01-662D6B9C3503}"/>
    <w:embedItalic r:id="rId3" w:fontKey="{43B50066-D74C-4A47-996E-D670D1233C2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4" w:fontKey="{377C219D-A6B7-447C-8C1D-01270FEA48E5}"/>
  </w:font>
  <w:font w:name="Georgia">
    <w:panose1 w:val="02040502050405020303"/>
    <w:charset w:val="00"/>
    <w:family w:val="roman"/>
    <w:pitch w:val="variable"/>
    <w:sig w:usb0="00000287" w:usb1="00000000" w:usb2="00000000" w:usb3="00000000" w:csb0="0000009F" w:csb1="00000000"/>
    <w:embedRegular r:id="rId5" w:fontKey="{6806C414-065D-462B-BA3E-25BFC54D8DEF}"/>
    <w:embedItalic r:id="rId6" w:fontKey="{097D7743-14A1-4F28-B311-46A5B8237CA7}"/>
  </w:font>
  <w:font w:name="Arial Narrow">
    <w:panose1 w:val="020B0606020202030204"/>
    <w:charset w:val="00"/>
    <w:family w:val="swiss"/>
    <w:pitch w:val="variable"/>
    <w:sig w:usb0="00000287" w:usb1="00000800" w:usb2="00000000" w:usb3="00000000" w:csb0="0000009F" w:csb1="00000000"/>
    <w:embedRegular r:id="rId7" w:fontKey="{FE246861-4667-443C-B273-29DD1C9ED24B}"/>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8" w:fontKey="{A0617EDE-398E-426F-BC19-E415928E311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4D379" w14:textId="2F46DC7E" w:rsidR="00585323" w:rsidRDefault="00981A5A">
    <w:pPr>
      <w:pBdr>
        <w:top w:val="single" w:sz="4" w:space="1" w:color="D9D9D9"/>
        <w:left w:val="nil"/>
        <w:bottom w:val="nil"/>
        <w:right w:val="nil"/>
        <w:between w:val="nil"/>
      </w:pBdr>
      <w:tabs>
        <w:tab w:val="center" w:pos="4680"/>
        <w:tab w:val="right" w:pos="9360"/>
      </w:tabs>
      <w:spacing w:after="0" w:line="240" w:lineRule="auto"/>
      <w:rPr>
        <w:b/>
        <w:color w:val="000000"/>
      </w:rPr>
    </w:pPr>
    <w:r>
      <w:rPr>
        <w:color w:val="000000"/>
      </w:rPr>
      <w:fldChar w:fldCharType="begin"/>
    </w:r>
    <w:r w:rsidR="00F9683B">
      <w:rPr>
        <w:color w:val="000000"/>
      </w:rPr>
      <w:instrText>PAGE</w:instrText>
    </w:r>
    <w:r>
      <w:rPr>
        <w:color w:val="000000"/>
      </w:rPr>
      <w:fldChar w:fldCharType="separate"/>
    </w:r>
    <w:r w:rsidR="00F43AF7">
      <w:rPr>
        <w:noProof/>
        <w:color w:val="000000"/>
      </w:rPr>
      <w:t>2</w:t>
    </w:r>
    <w:r>
      <w:rPr>
        <w:color w:val="000000"/>
      </w:rPr>
      <w:fldChar w:fldCharType="end"/>
    </w:r>
    <w:r w:rsidR="00F9683B">
      <w:rPr>
        <w:b/>
        <w:color w:val="000000"/>
      </w:rPr>
      <w:t xml:space="preserve"> | </w:t>
    </w:r>
    <w:r w:rsidR="004A0525">
      <w:rPr>
        <w:i/>
        <w:color w:val="000000"/>
      </w:rPr>
      <w:t>Melda Sary</w:t>
    </w:r>
    <w:r w:rsidR="00F9683B">
      <w:rPr>
        <w:i/>
        <w:color w:val="000000"/>
      </w:rPr>
      <w:t xml:space="preserve">, </w:t>
    </w:r>
    <w:proofErr w:type="spellStart"/>
    <w:r w:rsidR="00F9683B">
      <w:rPr>
        <w:i/>
        <w:color w:val="000000"/>
      </w:rPr>
      <w:t>dkk</w:t>
    </w:r>
    <w:proofErr w:type="spellEnd"/>
  </w:p>
  <w:p w14:paraId="17F18640"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662B4" w14:textId="6650E5AF" w:rsidR="00585323" w:rsidRDefault="005B2273">
    <w:pPr>
      <w:pBdr>
        <w:top w:val="nil"/>
        <w:left w:val="nil"/>
        <w:bottom w:val="nil"/>
        <w:right w:val="nil"/>
        <w:between w:val="nil"/>
      </w:pBdr>
      <w:tabs>
        <w:tab w:val="center" w:pos="4680"/>
        <w:tab w:val="right" w:pos="9360"/>
      </w:tabs>
      <w:spacing w:after="0" w:line="240" w:lineRule="auto"/>
      <w:jc w:val="right"/>
      <w:rPr>
        <w:color w:val="000000"/>
      </w:rPr>
    </w:pPr>
    <w:r w:rsidRPr="005B2273">
      <w:rPr>
        <w:i/>
        <w:iCs/>
        <w:color w:val="000000"/>
      </w:rPr>
      <w:t>Presidential Authority in a Presidential System</w:t>
    </w:r>
    <w:r w:rsidR="00F9683B" w:rsidRPr="005B2273">
      <w:rPr>
        <w:i/>
        <w:iCs/>
        <w:color w:val="000000"/>
      </w:rPr>
      <w:t>…</w:t>
    </w:r>
    <w:r w:rsidR="00F9683B">
      <w:rPr>
        <w:color w:val="000000"/>
      </w:rPr>
      <w:t xml:space="preserve"> |</w:t>
    </w:r>
    <w:r w:rsidR="00981A5A">
      <w:rPr>
        <w:b/>
        <w:color w:val="000000"/>
      </w:rPr>
      <w:fldChar w:fldCharType="begin"/>
    </w:r>
    <w:r w:rsidR="00F9683B">
      <w:rPr>
        <w:b/>
        <w:color w:val="000000"/>
      </w:rPr>
      <w:instrText>PAGE</w:instrText>
    </w:r>
    <w:r w:rsidR="00981A5A">
      <w:rPr>
        <w:b/>
        <w:color w:val="000000"/>
      </w:rPr>
      <w:fldChar w:fldCharType="separate"/>
    </w:r>
    <w:r w:rsidR="00F43AF7">
      <w:rPr>
        <w:b/>
        <w:noProof/>
        <w:color w:val="000000"/>
      </w:rPr>
      <w:t>3</w:t>
    </w:r>
    <w:r w:rsidR="00981A5A">
      <w:rPr>
        <w:b/>
        <w:color w:val="000000"/>
      </w:rPr>
      <w:fldChar w:fldCharType="end"/>
    </w:r>
  </w:p>
  <w:p w14:paraId="6AA56C54"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3E883" w14:textId="77777777" w:rsidR="00585323" w:rsidRDefault="00981A5A">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sidR="00F9683B">
      <w:rPr>
        <w:color w:val="000000"/>
      </w:rPr>
      <w:instrText>PAGE</w:instrText>
    </w:r>
    <w:r>
      <w:rPr>
        <w:color w:val="000000"/>
      </w:rPr>
      <w:fldChar w:fldCharType="separate"/>
    </w:r>
    <w:r w:rsidR="00F43AF7">
      <w:rPr>
        <w:noProof/>
        <w:color w:val="000000"/>
      </w:rPr>
      <w:t>1</w:t>
    </w:r>
    <w:r>
      <w:rPr>
        <w:color w:val="000000"/>
      </w:rPr>
      <w:fldChar w:fldCharType="end"/>
    </w:r>
  </w:p>
  <w:p w14:paraId="4CCBB352" w14:textId="77777777" w:rsidR="00585323" w:rsidRDefault="00585323">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DB8DB" w14:textId="77777777" w:rsidR="00112024" w:rsidRDefault="00112024">
      <w:pPr>
        <w:spacing w:after="0" w:line="240" w:lineRule="auto"/>
      </w:pPr>
      <w:r>
        <w:separator/>
      </w:r>
    </w:p>
  </w:footnote>
  <w:footnote w:type="continuationSeparator" w:id="0">
    <w:p w14:paraId="31038F87" w14:textId="77777777" w:rsidR="00112024" w:rsidRDefault="00112024">
      <w:pPr>
        <w:spacing w:after="0" w:line="240" w:lineRule="auto"/>
      </w:pPr>
      <w:r>
        <w:continuationSeparator/>
      </w:r>
    </w:p>
  </w:footnote>
  <w:footnote w:type="continuationNotice" w:id="1">
    <w:p w14:paraId="2D77D00A" w14:textId="77777777" w:rsidR="00112024" w:rsidRDefault="00112024">
      <w:pPr>
        <w:spacing w:after="0" w:line="240" w:lineRule="auto"/>
      </w:pPr>
    </w:p>
  </w:footnote>
  <w:footnote w:id="2">
    <w:p w14:paraId="7D68A126" w14:textId="77777777" w:rsidR="00006DF3" w:rsidRPr="00006DF3" w:rsidRDefault="00006DF3"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{"citationItems":[{"id":"ITEM-1","itemData":{"abstract":"Jurnal hukum ini dimaksudkan menelaah konstruksi sistem pemerintahan presidensial setelah perubahan Pasal 1 ayat (2) UUD NRI Tahun 1945, sebab tidak jelas (vague) apakah sistem pemerintahan yang dibangun dalam UUD NRI Tahun 1945 telah sesuai dengan sistem pemerintahan presidensial? Jurnal ini dirancang sebagai jurnal hukum normatif dengan pendekatan perundang-undangan, pendekatan konsep dan pendekatan perbandingan. Bahan hukum yang diperlukan berupa bahan hukum yang terdiri dari bahan hukum primer, bahan hukum sekunder dan bahan hukum tersier. Analisis yang digunakan adalah analisis yuridis kualitatif, yaitu analisis terhadap bahan hukum kualitatif dengan menggunakan pendekatan yuridis normatif. Dari hasil pembahasan diketahui sistem pemerintahan berdasarkan UUD NRI Tahun 1945 dari sudut pandang dianutnya single executive, telah sesuai dengan sistem pemerintahan presidensial. Pemberian mandat langsung oleh rakyat melalui pemilihan langsung sesuai dengan sistem pemerintahan presidensial. Dari sudut pandang adanya kewenangan legislatif Presiden belum sesuai dengan sistem pemerintahan presidensial. Hubungan Presiden dengan lembaga negara lainnya, pertama, hubungan DPR dan Presiden dalam fungsi legislasi, dan fungsi anggaran, kurang sesuai dengan sistem pemerintahan presidensial; Kedua, hubungan MPR dan Presiden tidak sesuai dengan sistem pemerintahan presidensial; ketiga, hubungan Presiden dengan DPD, MA dan MK telah sesuai dengan sistem pemerintahan presidensial.","author":[{"dropping-particle":"","family":"Sudirman","given":"","non-dropping-particle":"","parse-names":false,"suffix":""}],"container-title":"Jurnal Mahasiswa Fakultas Hukum, Universitas Brawijaya","id":"ITEM-1","issue":"1","issued":{"date-parts":[["2021"]]},"page":"1-27","title":"Kedudukan Presiden dalam Sistem Pemerintahan Presidensial (Telaah Terhadap Kedudukan dan Hubungan Presiden dengan Lembaga Negara yang Lain dalam Undang-Undang Dasar NRI tahun 1945)","type":"article-journal","volume":"1"},"uris":["http://www.mendeley.com/documents/?uuid=7bc407a8-efe8-47e9-a99e-69988dfac006"]}],"mendeley":{"formattedCitation":"Sudirman, “Kedudukan Presiden Dalam Sistem Pemerintahan Presidensial (Telaah Terhadap Kedudukan Dan Hubungan Presiden Dengan Lembaga Negara Yang Lain Dalam Undang-Undang Dasar NRI Tahun 1945),” &lt;i&gt;Jurnal Mahasiswa Fakultas Hukum, Universitas Brawijaya&lt;/i&gt; 1, no. 1 (2021): 1–27, http://hukum.studentjournal.ub.ac.id/index.php/hukum/article/view/526.","plainTextFormattedCitation":"Sudirman, “Kedudukan Presiden Dalam Sistem Pemerintahan Presidensial (Telaah Terhadap Kedudukan Dan Hubungan Presiden Dengan Lembaga Negara Yang Lain Dalam Undang-Undang Dasar NRI Tahun 1945),” Jurnal Mahasiswa Fakultas Hukum, Universitas Brawijaya 1, no. 1 (2021): 1–27, http://hukum.studentjournal.ub.ac.id/index.php/hukum/article/view/526.","previouslyFormattedCitation":"Sudirman, “Kedudukan Presiden Dalam Sistem Pemerintahan Presidensial (Telaah Terhadap Kedudukan Dan Hubungan Presiden Dengan Lembaga Negara Yang Lain Dalam Undang-Undang Dasar NRI Tahun 1945),” &lt;i&gt;Jurnal Mahasiswa Fakultas Hukum, Universitas Brawijaya&lt;/i&gt; 1, no. 1 (2021): 1–27, http://hukum.studentjournal.ub.ac.id/index.php/hukum/article/view/526."},"properties":{"noteIndex":1},"schema":"https://github.com/citation-style-language/schema/raw/master/csl-citation.json"}</w:instrText>
      </w:r>
      <w:r w:rsidR="00981A5A">
        <w:fldChar w:fldCharType="separate"/>
      </w:r>
      <w:r w:rsidRPr="00006DF3">
        <w:rPr>
          <w:noProof/>
        </w:rPr>
        <w:t xml:space="preserve">Sudirman, “Kedudukan Presiden Dalam Sistem Pemerintahan Presidensial (Telaah Terhadap Kedudukan Dan Hubungan Presiden Dengan Lembaga Negara Yang Lain Dalam Undang-Undang Dasar NRI Tahun 1945),” </w:t>
      </w:r>
      <w:r w:rsidRPr="00006DF3">
        <w:rPr>
          <w:i/>
          <w:noProof/>
        </w:rPr>
        <w:t>Jurnal Mahasiswa Fakultas Hukum, Universitas Brawijaya</w:t>
      </w:r>
      <w:r w:rsidRPr="00006DF3">
        <w:rPr>
          <w:noProof/>
        </w:rPr>
        <w:t xml:space="preserve"> 1, no. 1 (2021): 1–27, http://hukum.studentjournal.ub.ac.id/index.php/hukum/article/view/526.</w:t>
      </w:r>
      <w:r w:rsidR="00981A5A">
        <w:fldChar w:fldCharType="end"/>
      </w:r>
    </w:p>
  </w:footnote>
  <w:footnote w:id="3">
    <w:p w14:paraId="31FB3D2B" w14:textId="77777777" w:rsidR="00006DF3" w:rsidRPr="00006DF3" w:rsidRDefault="00006DF3"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{"citationItems":[{"id":"ITEM-1","itemData":{"DOI":"10.31078/jk1733","ISSN":"1829-7706","abstract":"Tulisan ini diarahkan untuk melihat tentang batasan kewenangan pembentukan Peraturan Pemerintah Pengganti Undang-Undang (PERPU) yang dituangkan dalam Pasal 22 UUD 1945 sebagai ekses dari adanya keadaan yang dianggap genting dan memaksa atau dalam terminologi hukum sering disebut sebagai hal ihwal kegentingan memaksa. Namun demikian, keberadaan Pasal 22 UUD 1945 sebagai dasar hukum adanya kewenangan Presiden dalam membentuk PERPU tidak memberikan kepastian hukum mengenai apa saja batasan kewenangan presiden dalam pembentukan PERPU tersebut. Sifat subyektifitas yang menguat dalam diri Presiden menjadi problem dan pro kontra dalam setiap pembicaraan mengenai pembentukan PERPU ini. Dengan menggunakan metodologi penelitian hukum normatif dan studi kepustakaan dan menggunakan pendekatan konseptual (conceptional approach), tulisan ini akan membedah mengenai tafsir-tafsir teoritis dan analisa hukum untuk melihat batasan kewenangan presiden dalam pembentukan PERPU yang sampai saat ini dinilai terlalu subyektif. Pada kesimpulannya bahwa terdapat 3 (tiga) pokok utama syarat adanya pembentukan PERPU yang dilakukan oleh Presiden yang berdasarkan pada ketentuan Pasal 22 UUD 1945 dan hasil analisis hukum dalam tulisan ini. Ketiga hal tersebut yang pertama adalah batasan waktu (kapan) suatu PERPU yang oleh Maria Farida bersifat terbatas (sementara) dan batasan materi (subtansi) yang ditafsirkan dalam Putusan MK Nomor 138/PUU-VII/2009 serta batasan terhadap perlindungan hak-hak konstitusional rakyat.","author":[{"dropping-particle":"","family":"Prayitno","given":"Cipto","non-dropping-particle":"","parse-names":false,"suffix":""}],"container-title":"Jurnal Konstitusi","id":"ITEM-1","issue":"3","issued":{"date-parts":[["2020"]]},"page":"513","title":"Analisis Konstitusionalitas Batasan Kewenangan Presiden dalam Penetapan Peraturan Pemerintah Pengganti Undang-Undang","type":"article-journal","volume":"17"},"uris":["http://www.mendeley.com/documents/?uuid=6e9f2d88-028c-4d83-882e-dfd20c4f693b"]}],"mendeley":{"formattedCitation":"Cipto Prayitno, “Analisis Konstitusionalitas Batasan Kewenangan Presiden Dalam Penetapan Peraturan Pemerintah Pengganti Undang-Undang,” &lt;i&gt;Jurnal Konstitusi&lt;/i&gt; 17, no. 3 (2020): 513, https://doi.org/10.31078/jk1733.","plainTextFormattedCitation":"Cipto Prayitno, “Analisis Konstitusionalitas Batasan Kewenangan Presiden Dalam Penetapan Peraturan Pemerintah Pengganti Undang-Undang,” Jurnal Konstitusi 17, no. 3 (2020): 513, https://doi.org/10.31078/jk1733.","previouslyFormattedCitation":"Cipto Prayitno, “Analisis Konstitusionalitas Batasan Kewenangan Presiden Dalam Penetapan Peraturan Pemerintah Pengganti Undang-Undang,” &lt;i&gt;Jurnal Konstitusi&lt;/i&gt; 17, no. 3 (2020): 513, https://doi.org/10.31078/jk1733."},"properties":{"noteIndex":2},"schema":"https://github.com/citation-style-language/schema/raw/master/csl-citation.json"}</w:instrText>
      </w:r>
      <w:r w:rsidR="00981A5A">
        <w:fldChar w:fldCharType="separate"/>
      </w:r>
      <w:r w:rsidRPr="00006DF3">
        <w:rPr>
          <w:noProof/>
        </w:rPr>
        <w:t xml:space="preserve">Cipto Prayitno, “Analisis Konstitusionalitas Batasan Kewenangan Presiden Dalam Penetapan Peraturan Pemerintah Pengganti Undang-Undang,” </w:t>
      </w:r>
      <w:r w:rsidRPr="00006DF3">
        <w:rPr>
          <w:i/>
          <w:noProof/>
        </w:rPr>
        <w:t>Jurnal Konstitusi</w:t>
      </w:r>
      <w:r w:rsidRPr="00006DF3">
        <w:rPr>
          <w:noProof/>
        </w:rPr>
        <w:t xml:space="preserve"> 17, no. 3 (2020): 513, https://doi.org/10.31078/jk1733.</w:t>
      </w:r>
      <w:r w:rsidR="00981A5A">
        <w:fldChar w:fldCharType="end"/>
      </w:r>
    </w:p>
  </w:footnote>
  <w:footnote w:id="4">
    <w:p w14:paraId="0C3B1CC8" w14:textId="21614928" w:rsidR="00006DF3" w:rsidRPr="00006DF3" w:rsidRDefault="00006DF3" w:rsidP="005C01E1">
      <w:pPr>
        <w:pStyle w:val="FootnoteText"/>
        <w:ind w:firstLine="709"/>
        <w:jc w:val="both"/>
        <w:rPr>
          <w:lang w:val="id-ID"/>
        </w:rPr>
      </w:pPr>
      <w:r>
        <w:rPr>
          <w:rStyle w:val="FootnoteReference"/>
        </w:rPr>
        <w:footnoteRef/>
      </w:r>
      <w:proofErr w:type="spellStart"/>
      <w:r w:rsidR="0049252F" w:rsidRPr="0049252F">
        <w:t>Widiarty</w:t>
      </w:r>
      <w:proofErr w:type="spellEnd"/>
      <w:r w:rsidR="0049252F" w:rsidRPr="0049252F">
        <w:t xml:space="preserve">, </w:t>
      </w:r>
      <w:proofErr w:type="spellStart"/>
      <w:r w:rsidR="0049252F" w:rsidRPr="0049252F">
        <w:t>Wiwik</w:t>
      </w:r>
      <w:proofErr w:type="spellEnd"/>
      <w:r w:rsidR="0049252F" w:rsidRPr="0049252F">
        <w:t xml:space="preserve"> Sri</w:t>
      </w:r>
      <w:r w:rsidR="004C3787">
        <w:t>.</w:t>
      </w:r>
      <w:r w:rsidR="0049252F" w:rsidRPr="0049252F">
        <w:t> </w:t>
      </w:r>
      <w:proofErr w:type="spellStart"/>
      <w:r w:rsidR="0049252F" w:rsidRPr="0049252F">
        <w:rPr>
          <w:i/>
          <w:iCs/>
        </w:rPr>
        <w:t>Buku</w:t>
      </w:r>
      <w:proofErr w:type="spellEnd"/>
      <w:r w:rsidR="0049252F" w:rsidRPr="0049252F">
        <w:rPr>
          <w:i/>
          <w:iCs/>
        </w:rPr>
        <w:t xml:space="preserve"> Ajar Metode </w:t>
      </w:r>
      <w:proofErr w:type="spellStart"/>
      <w:r w:rsidR="0049252F" w:rsidRPr="0049252F">
        <w:rPr>
          <w:i/>
          <w:iCs/>
        </w:rPr>
        <w:t>Penelitian</w:t>
      </w:r>
      <w:proofErr w:type="spellEnd"/>
      <w:r w:rsidR="0049252F" w:rsidRPr="0049252F">
        <w:rPr>
          <w:i/>
          <w:iCs/>
        </w:rPr>
        <w:t xml:space="preserve"> Hukum.</w:t>
      </w:r>
      <w:r w:rsidR="0049252F" w:rsidRPr="0049252F">
        <w:t> </w:t>
      </w:r>
      <w:proofErr w:type="spellStart"/>
      <w:r w:rsidR="0049252F" w:rsidRPr="0049252F">
        <w:t>Publika</w:t>
      </w:r>
      <w:proofErr w:type="spellEnd"/>
      <w:r w:rsidR="0049252F" w:rsidRPr="0049252F">
        <w:t xml:space="preserve"> Global Media</w:t>
      </w:r>
      <w:r w:rsidR="0049252F">
        <w:t xml:space="preserve">: </w:t>
      </w:r>
      <w:r w:rsidR="0049252F" w:rsidRPr="0049252F">
        <w:t>Kota Yogyakarta</w:t>
      </w:r>
      <w:r w:rsidR="004E77CE">
        <w:t>,2024.</w:t>
      </w:r>
    </w:p>
  </w:footnote>
  <w:footnote w:id="5">
    <w:p w14:paraId="52CBECF6" w14:textId="77777777" w:rsidR="00DC7CA2" w:rsidRPr="00DC7CA2" w:rsidRDefault="00DC7CA2"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{"citationItems":[{"id":"ITEM-1","itemData":{"DOI":"10.33096/aijih.v20i1.5","ISSN":"1410-9328","abstract":"The power of government has the characteristics of an authoritarian system of government, namely the concentration of power (concentration of power), or the concentration of power granted by law and the constitution to the president, so that the authority to govern Indonesia characterized by autocratic powers. Indonesian system adheres to the constitutional presidential system of government, which means that the president accountable to the constitution and not to the people as befits a presidential system, so that in case of infringement; either the law or the constitution by the president only mass force can be dropped. Abstrak Kekuasaan pemerintah memiliki ciri-ciri sistem pemerintahan otoriter, yaitu konsentrasi kekuasaan (konsentrasi kekuasaan), atau konsentrasi kekuasaan yang diberikan oleh hukum dan konstitusi kepada presiden, sehingga wewenang untuk memerintah Indonesia ditandai dengan otokratis kekuatan. Sistem Indonesia menganut sistem pemerintahan presidensial konstitusional, yang berarti bahwa presiden bertanggung jawab kepada konstitusi dan bukan kepada rakyat sebagaimana layaknya sistem presidensial, sehingga dalam hal terjadi pelanggaran, baik hukum atau konstitusi oleh presiden, hanya kekuatan massa yang bisa dijatuhkan.","author":[{"dropping-particle":"","family":"Budiman","given":"Muslimin","non-dropping-particle":"","parse-names":false,"suffix":""}],"container-title":"Al-Ishlah : Jurnal Ilmiah Hukum","id":"ITEM-1","issue":"1","issued":{"date-parts":[["2023"]]},"page":"29-47","title":"Kekuasaan Presiden Dalam Sistem Pemerintahan Presidensil","type":"article-journal","volume":"20"},"uris":["http://www.mendeley.com/documents/?uuid=9805d8fd-f4d0-43ae-9b9d-1e00d5139fc3"]}],"mendeley":{"formattedCitation":"Muslimin Budiman, “Kekuasaan Presiden Dalam Sistem Pemerintahan Presidensil,” &lt;i&gt;Al-Ishlah : Jurnal Ilmiah Hukum&lt;/i&gt; 20, no. 1 (2023): 29–47, https://doi.org/10.33096/aijih.v20i1.5.","plainTextFormattedCitation":"Muslimin Budiman, “Kekuasaan Presiden Dalam Sistem Pemerintahan Presidensil,” Al-Ishlah : Jurnal Ilmiah Hukum 20, no. 1 (2023): 29–47, https://doi.org/10.33096/aijih.v20i1.5.","previouslyFormattedCitation":"Muslimin Budiman, “Kekuasaan Presiden Dalam Sistem Pemerintahan Presidensil,” &lt;i&gt;Al-Ishlah : Jurnal Ilmiah Hukum&lt;/i&gt; 20, no. 1 (2023): 29–47, https://doi.org/10.33096/aijih.v20i1.5."},"properties":{"noteIndex":5},"schema":"https://github.com/citation-style-language/schema/raw/master/csl-citation.json"}</w:instrText>
      </w:r>
      <w:r w:rsidR="00981A5A">
        <w:fldChar w:fldCharType="separate"/>
      </w:r>
      <w:r w:rsidRPr="00DC7CA2">
        <w:rPr>
          <w:noProof/>
        </w:rPr>
        <w:t xml:space="preserve">Muslimin Budiman, “Kekuasaan Presiden Dalam Sistem Pemerintahan Presidensil,” </w:t>
      </w:r>
      <w:r w:rsidRPr="00DC7CA2">
        <w:rPr>
          <w:i/>
          <w:noProof/>
        </w:rPr>
        <w:t>Al-Ishlah : Jurnal Ilmiah Hukum</w:t>
      </w:r>
      <w:r w:rsidRPr="00DC7CA2">
        <w:rPr>
          <w:noProof/>
        </w:rPr>
        <w:t xml:space="preserve"> 20, no. 1 (2023): 29–47, https://doi.org/10.33096/aijih.v20i1.5.</w:t>
      </w:r>
      <w:r w:rsidR="00981A5A">
        <w:fldChar w:fldCharType="end"/>
      </w:r>
    </w:p>
  </w:footnote>
  <w:footnote w:id="6">
    <w:p w14:paraId="744E7E11" w14:textId="20C48C2E" w:rsidR="00DC7CA2" w:rsidRPr="00DC7CA2" w:rsidRDefault="00DC7CA2"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{"citationItems":[{"id":"ITEM-1","itemData":{"DOI":"10.46257/jrh.v27i1.491","ISSN":"1693-9336","abstract":"Kewenangan Presiden dalam membentuk undang-undang pasca amandemen yaitu bahwa Presiden masih memiliki hak dalam pembentukan undang-undang hal itu terjadi atas implikasi pergeseran fungsi legislasi sebelum dan sesudah amandemen, saat ini Presiden yang berhak mengajukan Rancangan Undang-Undang, DPR memegang kekuasaan membentuk undang-undang. Dalam penelitian ini juga dilakukan perbandingan dengan negara-negara di Amerika Latin dan Brazil untuk menemukan indikator kewenangan presiden membentuk undang-undang dalam sistem presidensial, agar proporsinya lebih ideal. Metode penelitian yang digunakan yaitu yuridis normatif. Hasil penelitian menunjukkan bahwa dibutuhkannya penyerahan kekuasaan legislasi sepenuhnya kepada DPR dan DPD serta perlu mempertimbangkan pranata Veto.","author":[{"dropping-particle":"","family":"Sihombing","given":"Eka N A M","non-dropping-particle":"","parse-names":false,"suffix":""},{"dropping-particle":"","family":"Hadita","given":"Cynthia","non-dropping-particle":"","parse-names":false,"suffix":""}],"container-title":"Reformasi Hukum","id":"ITEM-1","issue":"1","issued":{"date-parts":[["2023"]]},"page":"14-24","title":"Kewenangan Presiden Membentuk Undang-Undang Dalam Sistem Presidensial","type":"article-journal","volume":"27"},"uris":["http://www.mendeley.com/documents/?uuid=4f85d434-c9eb-41ee-800a-cbec0afb474c"]}],"mendeley":{"formattedCitation":"Eka N A M Sihombing and Cynthia Hadita, “Kewenangan Presiden Membentuk Undang-Undang Dalam Sistem Presidensial,” &lt;i&gt;Reformasi Hukum&lt;/i&gt; 27, no. 1 (2023): 14–24, https://doi.org/10.46257/jrh.v27i1.491.","plainTextFormattedCitation":"Eka N A M Sihombing and Cynthia Hadita, “Kewenangan Presiden Membentuk Undang-Undang Dalam Sistem Presidensial,” Reformasi Hukum 27, no. 1 (2023): 14–24, https://doi.org/10.46257/jrh.v27i1.491.","previouslyFormattedCitation":"Eka N A M Sihombing and Cynthia Hadita, “Kewenangan Presiden Membentuk Undang-Undang Dalam Sistem Presidensial,” &lt;i&gt;Reformasi Hukum&lt;/i&gt; 27, no. 1 (2023): 14–24, https://doi.org/10.46257/jrh.v27i1.491."},"properties":{"noteIndex":6},"schema":"https://github.com/citation-style-language/schema/raw/master/csl-citation.json"}</w:instrText>
      </w:r>
      <w:r w:rsidR="00981A5A">
        <w:fldChar w:fldCharType="separate"/>
      </w:r>
      <w:r w:rsidRPr="00DC7CA2">
        <w:rPr>
          <w:noProof/>
        </w:rPr>
        <w:t xml:space="preserve">Eka NAM Sihombing and Cynthia Hadita, “Kewenangan Presiden Membentuk Undang-Undang Dalam Sistem Presidensial,” </w:t>
      </w:r>
      <w:r w:rsidRPr="00DC7CA2">
        <w:rPr>
          <w:i/>
          <w:noProof/>
        </w:rPr>
        <w:t>Reformasi Hukum</w:t>
      </w:r>
      <w:r w:rsidRPr="00DC7CA2">
        <w:rPr>
          <w:noProof/>
        </w:rPr>
        <w:t xml:space="preserve"> 27, no. 1 (2023): 14–24, https://doi.org/10.46257/jrh.v27i1.491.</w:t>
      </w:r>
      <w:r w:rsidR="00981A5A">
        <w:fldChar w:fldCharType="end"/>
      </w:r>
    </w:p>
  </w:footnote>
  <w:footnote w:id="7">
    <w:p w14:paraId="0247572D" w14:textId="77777777" w:rsidR="00AC382F" w:rsidRPr="00AC382F" w:rsidRDefault="00AC382F" w:rsidP="005A2A0D">
      <w:pPr>
        <w:pStyle w:val="FootnoteText"/>
        <w:ind w:firstLine="709"/>
        <w:jc w:val="both"/>
        <w:rPr>
          <w:lang w:val="id-ID"/>
        </w:rPr>
      </w:pPr>
      <w:r>
        <w:rPr>
          <w:rStyle w:val="FootnoteReference"/>
        </w:rPr>
        <w:footnoteRef/>
      </w:r>
      <w:r w:rsidR="00981A5A">
        <w:fldChar w:fldCharType="begin" w:fldLock="1"/>
      </w:r>
      <w:r>
        <w:instrText>ADDIN CSL_CITATION {"citationItems":[{"id":"ITEM-1","itemData":{"DOI":"10.29300/imr.v2i2.1093","ISSN":"2541-0067","abstract":"Western scholars require democracy to meet the elements of tolerance, consultation, elections, balance, evaluation, separation of powers and political participation. However, in practice democracy is often equated with the experience and political traditions of Western Europe and the United States. Western countries often adopt a double standard in the conduct of democracy, this is evident from their democratic attitudes while in the country, and not democratic outside of the country. Another example of the multiparty and parliamentary electoral systems that prevail in Britain and France is not universally accepted as a single model of democracy. The Islamic democracy sometimes identified with shura is not an end in itself, but a way to arrive at the noblest goal of applying the Islamic Shari’ah. The Islamic government is a mixture of presidential and parliamentary systems. It has four organs: the presidential institution, the ahl al-Hall wa al-’Aqd council, the shura council, and the judiciary. The first three institutions are the selected institutions, therefore are directly accountable to the people. Members of judicial institutions are appointed by the President, but the President has no constitutional right to intervene in their work. The judiciary is immune from any influence, unless its decision is against the Shari’a. Thus, shura is the backbone of the Islamic political system, as the process by which it is produced and generated decisions on binding public affairs.","author":[{"dropping-particle":"","family":"Andiko","given":"Toha","non-dropping-particle":"","parse-names":false,"suffix":""}],"container-title":"Al Imarah : Jurnal Pemerintahan Dan Politik Islam","id":"ITEM-1","issue":"2","issued":{"date-parts":[["2018"]]},"page":"99-114","title":"Syura Dan Demokrasi Barat: Kritik Dan Solusi Menuju Demokrasi Islam","type":"article-journal","volume":"2"},"uris":["http://www.mendeley.com/documents/?uuid=f0903a64-d0c4-46ad-9afc-d25b580f047c"]}],"mendeley":{"formattedCitation":"Toha Andiko, “Syura Dan Demokrasi Barat: Kritik Dan Solusi Menuju Demokrasi Islam,” &lt;i&gt;Al Imarah : Jurnal Pemerintahan Dan Politik Islam&lt;/i&gt; 2, no. 2 (2018): 99–114, https://doi.org/10.29300/imr.v2i2.1093.","plainTextFormattedCitation":"Toha Andiko, “Syura Dan Demokrasi Barat: Kritik Dan Solusi Menuju Demokrasi Islam,” Al Imarah : Jurnal Pemerintahan Dan Politik Islam 2, no. 2 (2018): 99–114, https://doi.org/10.29300/imr.v2i2.1093."},"properties":{"noteIndex":7},"schema":"https://github.com/citation-style-language/schema/raw/master/csl-citation.json"}</w:instrText>
      </w:r>
      <w:r w:rsidR="00981A5A">
        <w:fldChar w:fldCharType="separate"/>
      </w:r>
      <w:r w:rsidRPr="00AC382F">
        <w:rPr>
          <w:noProof/>
        </w:rPr>
        <w:t xml:space="preserve">Toha Andiko, “Syura Dan Demokrasi Barat: Kritik Dan Solusi Menuju Demokrasi Islam,” </w:t>
      </w:r>
      <w:r w:rsidRPr="00AC382F">
        <w:rPr>
          <w:i/>
          <w:noProof/>
        </w:rPr>
        <w:t>Al Imarah : Jurnal Pemerintahan Dan Politik Islam</w:t>
      </w:r>
      <w:r w:rsidRPr="00AC382F">
        <w:rPr>
          <w:noProof/>
        </w:rPr>
        <w:t xml:space="preserve"> 2, no. 2 (2018): 99–114, https://doi.org/10.29300/imr.v2i2.1093.</w:t>
      </w:r>
      <w:r w:rsidR="00981A5A">
        <w:fldChar w:fldCharType="end"/>
      </w:r>
    </w:p>
  </w:footnote>
  <w:footnote w:id="8">
    <w:p w14:paraId="05E81CB6" w14:textId="77777777" w:rsidR="00DC7CA2" w:rsidRPr="00DC7CA2" w:rsidRDefault="00DC7CA2"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{"citationItems":[{"id":"ITEM-1","itemData":{"DOI":"10.31078/jk1733","ISSN":"1829-7706","abstract":"Tulisan ini diarahkan untuk melihat tentang batasan kewenangan pembentukan Peraturan Pemerintah Pengganti Undang-Undang (PERPU) yang dituangkan dalam Pasal 22 UUD 1945 sebagai ekses dari adanya keadaan yang dianggap genting dan memaksa atau dalam terminologi hukum sering disebut sebagai hal ihwal kegentingan memaksa. Namun demikian, keberadaan Pasal 22 UUD 1945 sebagai dasar hukum adanya kewenangan Presiden dalam membentuk PERPU tidak memberikan kepastian hukum mengenai apa saja batasan kewenangan presiden dalam pembentukan PERPU tersebut. Sifat subyektifitas yang menguat dalam diri Presiden menjadi problem dan pro kontra dalam setiap pembicaraan mengenai pembentukan PERPU ini. Dengan menggunakan metodologi penelitian hukum normatif dan studi kepustakaan dan menggunakan pendekatan konseptual (conceptional approach), tulisan ini akan membedah mengenai tafsir-tafsir teoritis dan analisa hukum untuk melihat batasan kewenangan presiden dalam pembentukan PERPU yang sampai saat ini dinilai terlalu subyektif. Pada kesimpulannya bahwa terdapat 3 (tiga) pokok utama syarat adanya pembentukan PERPU yang dilakukan oleh Presiden yang berdasarkan pada ketentuan Pasal 22 UUD 1945 dan hasil analisis hukum dalam tulisan ini. Ketiga hal tersebut yang pertama adalah batasan waktu (kapan) suatu PERPU yang oleh Maria Farida bersifat terbatas (sementara) dan batasan materi (subtansi) yang ditafsirkan dalam Putusan MK Nomor 138/PUU-VII/2009 serta batasan terhadap perlindungan hak-hak konstitusional rakyat.","author":[{"dropping-particle":"","family":"Prayitno","given":"Cipto","non-dropping-particle":"","parse-names":false,"suffix":""}],"container-title":"Jurnal Konstitusi","id":"ITEM-1","issue":"3","issued":{"date-parts":[["2020"]]},"page":"513","title":"Analisis Konstitusionalitas Batasan Kewenangan Presiden dalam Penetapan Peraturan Pemerintah Pengganti Undang-Undang","type":"article-journal","volume":"17"},"uris":["http://www.mendeley.com/documents/?uuid=6e9f2d88-028c-4d83-882e-dfd20c4f693b"]}],"mendeley":{"formattedCitation":"Prayitno, “Analisis Konstitusionalitas Batasan Kewenangan Presiden Dalam Penetapan Peraturan Pemerintah Pengganti Undang-Undang.”","plainTextFormattedCitation":"Prayitno, “Analisis Konstitusionalitas Batasan Kewenangan Presiden Dalam Penetapan Peraturan Pemerintah Pengganti Undang-Undang.”","previouslyFormattedCitation":"Prayitno, “Analisis Konstitusionalitas Batasan Kewenangan Presiden Dalam Penetapan Peraturan Pemerintah Pengganti Undang-Undang.”"},"properties":{"noteIndex":8},"schema":"https://github.com/citation-style-language/schema/raw/master/csl-citation.json"}</w:instrText>
      </w:r>
      <w:r w:rsidR="00981A5A">
        <w:fldChar w:fldCharType="separate"/>
      </w:r>
      <w:r w:rsidRPr="00DC7CA2">
        <w:rPr>
          <w:noProof/>
        </w:rPr>
        <w:t>Prayitno, “Analisis Konstitusionalitas Batasan Kewenangan Presiden Dalam Penetapan Peraturan Pemerintah Pengganti Undang-Undang.”</w:t>
      </w:r>
      <w:r w:rsidR="00981A5A">
        <w:fldChar w:fldCharType="end"/>
      </w:r>
    </w:p>
  </w:footnote>
  <w:footnote w:id="9">
    <w:p w14:paraId="34A230E9" w14:textId="7AD4588B" w:rsidR="00DC7CA2" w:rsidRPr="00DC7CA2" w:rsidRDefault="00DC7CA2" w:rsidP="005C01E1">
      <w:pPr>
        <w:pStyle w:val="FootnoteText"/>
        <w:ind w:firstLine="709"/>
        <w:jc w:val="both"/>
        <w:rPr>
          <w:lang w:val="id-ID"/>
        </w:rPr>
      </w:pPr>
      <w:r>
        <w:rPr>
          <w:rStyle w:val="FootnoteReference"/>
        </w:rPr>
        <w:footnoteRef/>
      </w:r>
      <w:r w:rsidR="00981A5A">
        <w:fldChar w:fldCharType="begin" w:fldLock="1"/>
      </w:r>
      <w:r w:rsidR="000A7DA6">
        <w:instrText>ADDIN CSL_CITATION {"citationItems":[{"id":"ITEM-1","itemData":{"author":[{"dropping-particle":"","family":"Monteiro","given":"osef M","non-dropping-particle":"","parse-names":false,"suffix":""}],"id":"ITEM-1","issued":{"date-parts":[["2022"]]},"page":"282-284","title":"PERPADUAN PRESIDENSIAL DAN PARLEMENTER DALAM SISTEM PEMERINTAHAN RI","type":"article-journal"},"uris":["http://www.mendeley.com/documents/?uuid=b42f6acd-f229-4eed-9bbb-e71943112564"]}],"mendeley":{"formattedCitation":"osef M Monteiro, “PERPADUAN PRESIDENSIAL DAN PARLEMENTER DALAM SISTEM PEMERINTAHAN RI,” 2022, 282–84, https://media.neliti.com/media/publications/81269-ID-perpaduan-presidensial-dan-parlementer-d.pdf.","plainTextFormattedCitation":"osef M Monteiro, “PERPADUAN PRESIDENSIAL DAN PARLEMENTER DALAM SISTEM PEMERINTAHAN RI,” 2022, 282–84, https://media.neliti.com/media/publications/81269-ID-perpaduan-presidensial-dan-parlementer-d.pdf.","previouslyFormattedCitation":"osef M Monteiro, “PERPADUAN PRESIDENSIAL DAN PARLEMENTER DALAM SISTEM PEMERINTAHAN RI,” 2022, 282–84, https://media.neliti.com/media/publications/81269-ID-perpaduan-presidensial-dan-parlementer-d.pdf."},"properties":{"noteIndex":9},"schema":"https://github.com/citation-style-language/schema/raw/master/csl-citation.json"}</w:instrText>
      </w:r>
      <w:r w:rsidR="00981A5A">
        <w:fldChar w:fldCharType="separate"/>
      </w:r>
      <w:r w:rsidRPr="00DC7CA2">
        <w:rPr>
          <w:noProof/>
        </w:rPr>
        <w:t>osef M Monteiro, “</w:t>
      </w:r>
      <w:r w:rsidR="005005F5" w:rsidRPr="00DC7CA2">
        <w:rPr>
          <w:noProof/>
        </w:rPr>
        <w:t xml:space="preserve">Perpaduan Presidensial Dan Parlementer Dalam Sistem Pemerintahan </w:t>
      </w:r>
      <w:r w:rsidRPr="00DC7CA2">
        <w:rPr>
          <w:noProof/>
        </w:rPr>
        <w:t>RI,” 2022, 282–84, https://media.neliti.com/media/publications/81269-ID-perpaduan-presidensial-dan-parlementer-d.pdf.</w:t>
      </w:r>
      <w:r w:rsidR="00981A5A">
        <w:fldChar w:fldCharType="end"/>
      </w:r>
    </w:p>
  </w:footnote>
  <w:footnote w:id="10">
    <w:p w14:paraId="4D3B2D5B" w14:textId="77777777" w:rsidR="000A7DA6" w:rsidRPr="000A7DA6" w:rsidRDefault="000A7DA6"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{"citationItems":[{"id":"ITEM-1","itemData":{"DOI":"10.31078/jk1728","ISSN":"1829-7706","abstract":"Salah satu isu yang menjadi konteks empiris pada saat amandemen UUD 1945, adalah pinjaman luar negeri Indonesia pada masa Orde Baru. Hal ini mendorong perubahan Pasal 11 UUD 1945, yang pada pokoknya menentukan sebuah keharusan bagi Presiden untuk mendapatkan persetujuan DPR dalam membuat perjanjian pinjaman luar negeri. Akan tetapi dalam pengaturan kemudian, persetujuan DPR sebagai bentuk pembatasan kekuasaan Presiden di bidang diplomatik ini, justru direduksi menjadi persetujuan yang terbatas diberikan terhadap Undang-Undang APBN. Penelitian ini dimaksudkan untuk mengurai berbagai permasalahan seputar persetujuan DPR sebagai bentuk pembatasan kekuasaan Presiden, dan pengaturannya dalam Peraturan Perundang-Undangan Pasca amandemen UUD 1945.","author":[{"dropping-particle":"","family":"Paputungan","given":"Merdiansa","non-dropping-particle":"","parse-names":false,"suffix":""},{"dropping-particle":"","family":"Hoesein","given":"Zainal Arifin","non-dropping-particle":"","parse-names":false,"suffix":""}],"container-title":"Jurnal Konstitusi","id":"ITEM-1","issue":"2","issued":{"date-parts":[["2020"]]},"page":"388","title":"Pembatasan Kekuasaan Presiden dalam Melakukan Perjanjian Pinjaman Luar Negeri Pasca Amandemen UUD 1945","type":"article-journal","volume":"17"},"uris":["http://www.mendeley.com/documents/?uuid=5dc1454e-c9a8-4f7f-9e54-9dae9cec52ac"]}],"mendeley":{"formattedCitation":"Merdiansa Paputungan and Zainal Arifin Hoesein, “Pembatasan Kekuasaan Presiden Dalam Melakukan Perjanjian Pinjaman Luar Negeri Pasca Amandemen UUD 1945,” &lt;i&gt;Jurnal Konstitusi&lt;/i&gt; 17, no. 2 (2020): 388, https://doi.org/10.31078/jk1728.","plainTextFormattedCitation":"Merdiansa Paputungan and Zainal Arifin Hoesein, “Pembatasan Kekuasaan Presiden Dalam Melakukan Perjanjian Pinjaman Luar Negeri Pasca Amandemen UUD 1945,” Jurnal Konstitusi 17, no. 2 (2020): 388, https://doi.org/10.31078/jk1728.","previouslyFormattedCitation":"Merdiansa Paputungan and Zainal Arifin Hoesein, “Pembatasan Kekuasaan Presiden Dalam Melakukan Perjanjian Pinjaman Luar Negeri Pasca Amandemen UUD 1945,” &lt;i&gt;Jurnal Konstitusi&lt;/i&gt; 17, no. 2 (2020): 388, https://doi.org/10.31078/jk1728."},"properties":{"noteIndex":10},"schema":"https://github.com/citation-style-language/schema/raw/master/csl-citation.json"}</w:instrText>
      </w:r>
      <w:r w:rsidR="00981A5A">
        <w:fldChar w:fldCharType="separate"/>
      </w:r>
      <w:r w:rsidRPr="000A7DA6">
        <w:rPr>
          <w:noProof/>
        </w:rPr>
        <w:t xml:space="preserve">Merdiansa Paputungan and Zainal Arifin Hoesein, “Pembatasan Kekuasaan Presiden Dalam Melakukan Perjanjian Pinjaman Luar Negeri Pasca Amandemen UUD 1945,” </w:t>
      </w:r>
      <w:r w:rsidRPr="000A7DA6">
        <w:rPr>
          <w:i/>
          <w:noProof/>
        </w:rPr>
        <w:t>Jurnal Konstitusi</w:t>
      </w:r>
      <w:r w:rsidRPr="000A7DA6">
        <w:rPr>
          <w:noProof/>
        </w:rPr>
        <w:t xml:space="preserve"> 17, no. 2 (2020): 388, https://doi.org/10.31078/jk1728.</w:t>
      </w:r>
      <w:r w:rsidR="00981A5A">
        <w:fldChar w:fldCharType="end"/>
      </w:r>
    </w:p>
  </w:footnote>
  <w:footnote w:id="11">
    <w:p w14:paraId="7247DB07" w14:textId="0C7E0F3F" w:rsidR="000A7DA6" w:rsidRPr="000A7DA6" w:rsidRDefault="000A7DA6"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{"citationItems":[{"id":"ITEM-1","itemData":{"author":[{"dropping-particle":"","family":"Dasar","given":"Ditinjau Dari Undang-undang","non-dropping-particle":"","parse-names":false,"suffix":""},{"dropping-particle":"","family":"Republik","given":"Negara","non-dropping-particle":"","parse-names":false,"suffix":""},{"dropping-particle":"","family":"Tahun","given":"Indonesia","non-dropping-particle":"","parse-names":false,"suffix":""}],"id":"ITEM-1","issued":{"date-parts":[["2021"]]},"title":"Jimly Asshiddiqie, Komentar Atas Undang-","type":"article-journal"},"uris":["http://www.mendeley.com/documents/?uuid=b5ee4468-96ff-413c-8bb1-c12fb1a14a49"]}],"mendeley":{"formattedCitation":"Ditinjau Dari Undang-undang Dasar, Negara Republik, and Indonesia Tahun, “Jimly Asshiddiqie, Komentar Atas Undang-,” 2021, file:///C:/Users/user/Downloads/44478-98359-1-SM.pdf.","plainTextFormattedCitation":"Ditinjau Dari Undang-undang Dasar, Negara Republik, and Indonesia Tahun, “Jimly Asshiddiqie, Komentar Atas Undang-,” 2021, file:///C:/Users/user/Downloads/44478-98359-1-SM.pdf.","previouslyFormattedCitation":"Ditinjau Dari Undang-undang Dasar, Negara Republik, and Indonesia Tahun, “Jimly Asshiddiqie, Komentar Atas Undang-,” 2021, file:///C:/Users/user/Downloads/44478-98359-1-SM.pdf."},"properties":{"noteIndex":11},"schema":"https://github.com/citation-style-language/schema/raw/master/csl-citation.json"}</w:instrText>
      </w:r>
      <w:r w:rsidR="00981A5A">
        <w:fldChar w:fldCharType="separate"/>
      </w:r>
      <w:r w:rsidRPr="000A7DA6">
        <w:rPr>
          <w:noProof/>
        </w:rPr>
        <w:t xml:space="preserve"> Undang-undang Dasar</w:t>
      </w:r>
      <w:r w:rsidR="00CC5C08">
        <w:rPr>
          <w:noProof/>
        </w:rPr>
        <w:t xml:space="preserve"> </w:t>
      </w:r>
      <w:r w:rsidRPr="000A7DA6">
        <w:rPr>
          <w:noProof/>
        </w:rPr>
        <w:t>Negara Republik Indonesia Tahun</w:t>
      </w:r>
      <w:r w:rsidR="00CC5C08">
        <w:rPr>
          <w:noProof/>
        </w:rPr>
        <w:t xml:space="preserve"> 1945</w:t>
      </w:r>
      <w:r w:rsidRPr="000A7DA6">
        <w:rPr>
          <w:noProof/>
        </w:rPr>
        <w:t xml:space="preserve"> </w:t>
      </w:r>
      <w:r w:rsidR="00981A5A">
        <w:fldChar w:fldCharType="end"/>
      </w:r>
    </w:p>
  </w:footnote>
  <w:footnote w:id="12">
    <w:p w14:paraId="49AA9154" w14:textId="77777777" w:rsidR="000A7DA6" w:rsidRPr="000A7DA6" w:rsidRDefault="000A7DA6" w:rsidP="005C01E1">
      <w:pPr>
        <w:pStyle w:val="FootnoteText"/>
        <w:ind w:firstLine="709"/>
        <w:jc w:val="both"/>
        <w:rPr>
          <w:lang w:val="id-ID"/>
        </w:rPr>
      </w:pPr>
      <w:r>
        <w:rPr>
          <w:rStyle w:val="FootnoteReference"/>
        </w:rPr>
        <w:footnoteRef/>
      </w:r>
      <w:r w:rsidR="00981A5A">
        <w:fldChar w:fldCharType="begin" w:fldLock="1"/>
      </w:r>
      <w:r>
        <w:instrText>ADDIN CSL_CITATION {"citationItems":[{"id":"ITEM-1","itemData":{"abstract":"Jurnal hukum ini dimaksudkan menelaah konstruksi sistem pemerintahan presidensial setelah perubahan Pasal 1 ayat (2) UUD NRI Tahun 1945, sebab tidak jelas (vague) apakah sistem pemerintahan yang dibangun dalam UUD NRI Tahun 1945 telah sesuai dengan sistem pemerintahan presidensial? Jurnal ini dirancang sebagai jurnal hukum normatif dengan pendekatan perundang-undangan, pendekatan konsep dan pendekatan perbandingan. Bahan hukum yang diperlukan berupa bahan hukum yang terdiri dari bahan hukum primer, bahan hukum sekunder dan bahan hukum tersier. Analisis yang digunakan adalah analisis yuridis kualitatif, yaitu analisis terhadap bahan hukum kualitatif dengan menggunakan pendekatan yuridis normatif. Dari hasil pembahasan diketahui sistem pemerintahan berdasarkan UUD NRI Tahun 1945 dari sudut pandang dianutnya single executive, telah sesuai dengan sistem pemerintahan presidensial. Pemberian mandat langsung oleh rakyat melalui pemilihan langsung sesuai dengan sistem pemerintahan presidensial. Dari sudut pandang adanya kewenangan legislatif Presiden belum sesuai dengan sistem pemerintahan presidensial. Hubungan Presiden dengan lembaga negara lainnya, pertama, hubungan DPR dan Presiden dalam fungsi legislasi, dan fungsi anggaran, kurang sesuai dengan sistem pemerintahan presidensial; Kedua, hubungan MPR dan Presiden tidak sesuai dengan sistem pemerintahan presidensial; ketiga, hubungan Presiden dengan DPD, MA dan MK telah sesuai dengan sistem pemerintahan presidensial.","author":[{"dropping-particle":"","family":"Sudirman","given":"","non-dropping-particle":"","parse-names":false,"suffix":""}],"container-title":"Jurnal Mahasiswa Fakultas Hukum, Universitas Brawijaya","id":"ITEM-1","issue":"1","issued":{"date-parts":[["2021"]]},"page":"1-27","title":"Kedudukan Presiden dalam Sistem Pemerintahan Presidensial (Telaah Terhadap Kedudukan dan Hubungan Presiden dengan Lembaga Negara yang Lain dalam Undang-Undang Dasar NRI tahun 1945)","type":"article-journal","volume":"1"},"uris":["http://www.mendeley.com/documents/?uuid=7bc407a8-efe8-47e9-a99e-69988dfac006"]}],"mendeley":{"formattedCitation":"Sudirman, “Kedudukan Presiden Dalam Sistem Pemerintahan Presidensial (Telaah Terhadap Kedudukan Dan Hubungan Presiden Dengan Lembaga Negara Yang Lain Dalam Undang-Undang Dasar NRI Tahun 1945).”","plainTextFormattedCitation":"Sudirman, “Kedudukan Presiden Dalam Sistem Pemerintahan Presidensial (Telaah Terhadap Kedudukan Dan Hubungan Presiden Dengan Lembaga Negara Yang Lain Dalam Undang-Undang Dasar NRI Tahun 1945).”","previouslyFormattedCitation":"Sudirman, “Kedudukan Presiden Dalam Sistem Pemerintahan Presidensial (Telaah Terhadap Kedudukan Dan Hubungan Presiden Dengan Lembaga Negara Yang Lain Dalam Undang-Undang Dasar NRI Tahun 1945).”"},"properties":{"noteIndex":12},"schema":"https://github.com/citation-style-language/schema/raw/master/csl-citation.json"}</w:instrText>
      </w:r>
      <w:r w:rsidR="00981A5A">
        <w:fldChar w:fldCharType="separate"/>
      </w:r>
      <w:r w:rsidRPr="000A7DA6">
        <w:rPr>
          <w:noProof/>
        </w:rPr>
        <w:t>Sudirman, “Kedudukan Presiden Dalam Sistem Pemerintahan Presidensial (Telaah Terhadap Kedudukan Dan Hubungan Presiden Dengan Lembaga Negara Yang Lain Dalam Undang-Undang Dasar NRI Tahun 1945).”</w:t>
      </w:r>
      <w:r w:rsidR="00981A5A">
        <w:fldChar w:fldCharType="end"/>
      </w:r>
    </w:p>
  </w:footnote>
  <w:footnote w:id="13">
    <w:p w14:paraId="2F963209" w14:textId="77777777" w:rsidR="000A7DA6" w:rsidRPr="000A7DA6" w:rsidRDefault="000A7DA6" w:rsidP="005C01E1">
      <w:pPr>
        <w:pStyle w:val="FootnoteText"/>
        <w:ind w:firstLine="709"/>
        <w:jc w:val="both"/>
        <w:rPr>
          <w:lang w:val="id-ID"/>
        </w:rPr>
      </w:pPr>
      <w:r>
        <w:rPr>
          <w:rStyle w:val="FootnoteReference"/>
        </w:rPr>
        <w:footnoteRef/>
      </w:r>
      <w:r w:rsidR="00981A5A">
        <w:fldChar w:fldCharType="begin" w:fldLock="1"/>
      </w:r>
      <w:r w:rsidR="006417AF">
        <w:instrText>ADDIN CSL_CITATION {"citationItems":[{"id":"ITEM-1","itemData":{"DOI":"10.46257/jrh.v27i1.491","ISSN":"1693-9336","abstract":"Kewenangan Presiden dalam membentuk undang-undang pasca amandemen yaitu bahwa Presiden masih memiliki hak dalam pembentukan undang-undang hal itu terjadi atas implikasi pergeseran fungsi legislasi sebelum dan sesudah amandemen, saat ini Presiden yang berhak mengajukan Rancangan Undang-Undang, DPR memegang kekuasaan membentuk undang-undang. Dalam penelitian ini juga dilakukan perbandingan dengan negara-negara di Amerika Latin dan Brazil untuk menemukan indikator kewenangan presiden membentuk undang-undang dalam sistem presidensial, agar proporsinya lebih ideal. Metode penelitian yang digunakan yaitu yuridis normatif. Hasil penelitian menunjukkan bahwa dibutuhkannya penyerahan kekuasaan legislasi sepenuhnya kepada DPR dan DPD serta perlu mempertimbangkan pranata Veto.","author":[{"dropping-particle":"","family":"Sihombing","given":"Eka N A M","non-dropping-particle":"","parse-names":false,"suffix":""},{"dropping-particle":"","family":"Hadita","given":"Cynthia","non-dropping-particle":"","parse-names":false,"suffix":""}],"container-title":"Reformasi Hukum","id":"ITEM-1","issue":"1","issued":{"date-parts":[["2023"]]},"page":"14-24","title":"Kewenangan Presiden Membentuk Undang-Undang Dalam Sistem Presidensial","type":"article-journal","volume":"27"},"uris":["http://www.mendeley.com/documents/?uuid=4f85d434-c9eb-41ee-800a-cbec0afb474c"]}],"mendeley":{"formattedCitation":"Sihombing and Hadita, “Kewenangan Presiden Membentuk Undang-Undang Dalam Sistem Presidensial.”","plainTextFormattedCitation":"Sihombing and Hadita, “Kewenangan Presiden Membentuk Undang-Undang Dalam Sistem Presidensial.”","previouslyFormattedCitation":"Sihombing and Hadita, “Kewenangan Presiden Membentuk Undang-Undang Dalam Sistem Presidensial.”"},"properties":{"noteIndex":13},"schema":"https://github.com/citation-style-language/schema/raw/master/csl-citation.json"}</w:instrText>
      </w:r>
      <w:r w:rsidR="00981A5A">
        <w:fldChar w:fldCharType="separate"/>
      </w:r>
      <w:r w:rsidRPr="000A7DA6">
        <w:rPr>
          <w:noProof/>
        </w:rPr>
        <w:t>Sihombing and Hadita, “Kewenangan Presiden Membentuk Undang-Undang Dalam Sistem Presidensial.”</w:t>
      </w:r>
      <w:r w:rsidR="00981A5A">
        <w:fldChar w:fldCharType="end"/>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1540E1"/>
    <w:multiLevelType w:val="multilevel"/>
    <w:tmpl w:val="6AF825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7607953"/>
    <w:multiLevelType w:val="hybridMultilevel"/>
    <w:tmpl w:val="E54047BA"/>
    <w:lvl w:ilvl="0" w:tplc="04090019">
      <w:start w:val="1"/>
      <w:numFmt w:val="lowerLetter"/>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1154B94"/>
    <w:multiLevelType w:val="multilevel"/>
    <w:tmpl w:val="8F285AEE"/>
    <w:lvl w:ilvl="0">
      <w:start w:val="1"/>
      <w:numFmt w:val="decimal"/>
      <w:lvlText w:val="%1."/>
      <w:lvlJc w:val="left"/>
      <w:pPr>
        <w:tabs>
          <w:tab w:val="num" w:pos="720"/>
        </w:tabs>
        <w:ind w:left="720" w:hanging="360"/>
      </w:pPr>
    </w:lvl>
    <w:lvl w:ilvl="1">
      <w:start w:val="1"/>
      <w:numFmt w:val="upperLetter"/>
      <w:lvlText w:val="%2."/>
      <w:lvlJc w:val="left"/>
      <w:pPr>
        <w:ind w:left="72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6C0D69"/>
    <w:multiLevelType w:val="multilevel"/>
    <w:tmpl w:val="60366C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665500"/>
    <w:multiLevelType w:val="multilevel"/>
    <w:tmpl w:val="3F0E6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BD1C03"/>
    <w:multiLevelType w:val="multilevel"/>
    <w:tmpl w:val="B4664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A785AE7"/>
    <w:multiLevelType w:val="multilevel"/>
    <w:tmpl w:val="17907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1174223"/>
    <w:multiLevelType w:val="multilevel"/>
    <w:tmpl w:val="B3E02FB4"/>
    <w:lvl w:ilvl="0">
      <w:start w:val="1"/>
      <w:numFmt w:val="upperLetter"/>
      <w:lvlText w:val="%1."/>
      <w:lvlJc w:val="left"/>
      <w:pPr>
        <w:tabs>
          <w:tab w:val="num" w:pos="720"/>
        </w:tabs>
        <w:ind w:left="720" w:hanging="360"/>
      </w:pPr>
      <w:rPr>
        <w:rFonts w:asciiTheme="minorHAnsi" w:eastAsia="Times New Roman" w:hAnsiTheme="minorHAnsi" w:cstheme="minorHAnsi"/>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3BF0F14"/>
    <w:multiLevelType w:val="multilevel"/>
    <w:tmpl w:val="385EC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74B18B3"/>
    <w:multiLevelType w:val="multilevel"/>
    <w:tmpl w:val="719E1F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D887869"/>
    <w:multiLevelType w:val="multilevel"/>
    <w:tmpl w:val="46384D0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8F06611"/>
    <w:multiLevelType w:val="multilevel"/>
    <w:tmpl w:val="D2CC6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F3E40F5"/>
    <w:multiLevelType w:val="multilevel"/>
    <w:tmpl w:val="E7EAB06C"/>
    <w:lvl w:ilvl="0">
      <w:start w:val="1"/>
      <w:numFmt w:val="lowerLetter"/>
      <w:lvlText w:val="%1."/>
      <w:lvlJc w:val="left"/>
      <w:pPr>
        <w:tabs>
          <w:tab w:val="num" w:pos="630"/>
        </w:tabs>
        <w:ind w:left="630" w:hanging="360"/>
      </w:pPr>
      <w:rPr>
        <w:rFonts w:hint="default"/>
        <w:sz w:val="20"/>
      </w:rPr>
    </w:lvl>
    <w:lvl w:ilvl="1" w:tentative="1">
      <w:start w:val="1"/>
      <w:numFmt w:val="bullet"/>
      <w:lvlText w:val="o"/>
      <w:lvlJc w:val="left"/>
      <w:pPr>
        <w:tabs>
          <w:tab w:val="num" w:pos="1350"/>
        </w:tabs>
        <w:ind w:left="1350" w:hanging="360"/>
      </w:pPr>
      <w:rPr>
        <w:rFonts w:ascii="Courier New" w:hAnsi="Courier New" w:hint="default"/>
        <w:sz w:val="20"/>
      </w:rPr>
    </w:lvl>
    <w:lvl w:ilvl="2" w:tentative="1">
      <w:start w:val="1"/>
      <w:numFmt w:val="bullet"/>
      <w:lvlText w:val=""/>
      <w:lvlJc w:val="left"/>
      <w:pPr>
        <w:tabs>
          <w:tab w:val="num" w:pos="2070"/>
        </w:tabs>
        <w:ind w:left="2070" w:hanging="360"/>
      </w:pPr>
      <w:rPr>
        <w:rFonts w:ascii="Wingdings" w:hAnsi="Wingdings" w:hint="default"/>
        <w:sz w:val="20"/>
      </w:rPr>
    </w:lvl>
    <w:lvl w:ilvl="3" w:tentative="1">
      <w:start w:val="1"/>
      <w:numFmt w:val="bullet"/>
      <w:lvlText w:val=""/>
      <w:lvlJc w:val="left"/>
      <w:pPr>
        <w:tabs>
          <w:tab w:val="num" w:pos="2790"/>
        </w:tabs>
        <w:ind w:left="2790" w:hanging="360"/>
      </w:pPr>
      <w:rPr>
        <w:rFonts w:ascii="Wingdings" w:hAnsi="Wingdings" w:hint="default"/>
        <w:sz w:val="20"/>
      </w:rPr>
    </w:lvl>
    <w:lvl w:ilvl="4" w:tentative="1">
      <w:start w:val="1"/>
      <w:numFmt w:val="bullet"/>
      <w:lvlText w:val=""/>
      <w:lvlJc w:val="left"/>
      <w:pPr>
        <w:tabs>
          <w:tab w:val="num" w:pos="3510"/>
        </w:tabs>
        <w:ind w:left="3510" w:hanging="360"/>
      </w:pPr>
      <w:rPr>
        <w:rFonts w:ascii="Wingdings" w:hAnsi="Wingdings" w:hint="default"/>
        <w:sz w:val="20"/>
      </w:rPr>
    </w:lvl>
    <w:lvl w:ilvl="5" w:tentative="1">
      <w:start w:val="1"/>
      <w:numFmt w:val="bullet"/>
      <w:lvlText w:val=""/>
      <w:lvlJc w:val="left"/>
      <w:pPr>
        <w:tabs>
          <w:tab w:val="num" w:pos="4230"/>
        </w:tabs>
        <w:ind w:left="4230" w:hanging="360"/>
      </w:pPr>
      <w:rPr>
        <w:rFonts w:ascii="Wingdings" w:hAnsi="Wingdings" w:hint="default"/>
        <w:sz w:val="20"/>
      </w:rPr>
    </w:lvl>
    <w:lvl w:ilvl="6" w:tentative="1">
      <w:start w:val="1"/>
      <w:numFmt w:val="bullet"/>
      <w:lvlText w:val=""/>
      <w:lvlJc w:val="left"/>
      <w:pPr>
        <w:tabs>
          <w:tab w:val="num" w:pos="4950"/>
        </w:tabs>
        <w:ind w:left="4950" w:hanging="360"/>
      </w:pPr>
      <w:rPr>
        <w:rFonts w:ascii="Wingdings" w:hAnsi="Wingdings" w:hint="default"/>
        <w:sz w:val="20"/>
      </w:rPr>
    </w:lvl>
    <w:lvl w:ilvl="7" w:tentative="1">
      <w:start w:val="1"/>
      <w:numFmt w:val="bullet"/>
      <w:lvlText w:val=""/>
      <w:lvlJc w:val="left"/>
      <w:pPr>
        <w:tabs>
          <w:tab w:val="num" w:pos="5670"/>
        </w:tabs>
        <w:ind w:left="5670" w:hanging="360"/>
      </w:pPr>
      <w:rPr>
        <w:rFonts w:ascii="Wingdings" w:hAnsi="Wingdings" w:hint="default"/>
        <w:sz w:val="20"/>
      </w:rPr>
    </w:lvl>
    <w:lvl w:ilvl="8" w:tentative="1">
      <w:start w:val="1"/>
      <w:numFmt w:val="bullet"/>
      <w:lvlText w:val=""/>
      <w:lvlJc w:val="left"/>
      <w:pPr>
        <w:tabs>
          <w:tab w:val="num" w:pos="6390"/>
        </w:tabs>
        <w:ind w:left="6390" w:hanging="360"/>
      </w:pPr>
      <w:rPr>
        <w:rFonts w:ascii="Wingdings" w:hAnsi="Wingdings" w:hint="default"/>
        <w:sz w:val="20"/>
      </w:rPr>
    </w:lvl>
  </w:abstractNum>
  <w:num w:numId="1" w16cid:durableId="754591932">
    <w:abstractNumId w:val="12"/>
  </w:num>
  <w:num w:numId="2" w16cid:durableId="2029791016">
    <w:abstractNumId w:val="1"/>
  </w:num>
  <w:num w:numId="3" w16cid:durableId="2035449593">
    <w:abstractNumId w:val="0"/>
  </w:num>
  <w:num w:numId="4" w16cid:durableId="54621328">
    <w:abstractNumId w:val="2"/>
  </w:num>
  <w:num w:numId="5" w16cid:durableId="1396002875">
    <w:abstractNumId w:val="8"/>
  </w:num>
  <w:num w:numId="6" w16cid:durableId="2139374230">
    <w:abstractNumId w:val="7"/>
  </w:num>
  <w:num w:numId="7" w16cid:durableId="1161313735">
    <w:abstractNumId w:val="11"/>
  </w:num>
  <w:num w:numId="8" w16cid:durableId="901134859">
    <w:abstractNumId w:val="5"/>
  </w:num>
  <w:num w:numId="9" w16cid:durableId="205682873">
    <w:abstractNumId w:val="3"/>
  </w:num>
  <w:num w:numId="10" w16cid:durableId="170531458">
    <w:abstractNumId w:val="9"/>
  </w:num>
  <w:num w:numId="11" w16cid:durableId="1165246337">
    <w:abstractNumId w:val="10"/>
  </w:num>
  <w:num w:numId="12" w16cid:durableId="520582369">
    <w:abstractNumId w:val="4"/>
  </w:num>
  <w:num w:numId="13" w16cid:durableId="2175855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hideSpellingErrors/>
  <w:proofState w:spelling="clean" w:grammar="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85323"/>
    <w:rsid w:val="00006DF3"/>
    <w:rsid w:val="00036BE4"/>
    <w:rsid w:val="00047209"/>
    <w:rsid w:val="00085361"/>
    <w:rsid w:val="000942E8"/>
    <w:rsid w:val="000A7DA6"/>
    <w:rsid w:val="000C3EA4"/>
    <w:rsid w:val="00105018"/>
    <w:rsid w:val="00112024"/>
    <w:rsid w:val="0013463F"/>
    <w:rsid w:val="00147F01"/>
    <w:rsid w:val="00153F9B"/>
    <w:rsid w:val="001B0E1F"/>
    <w:rsid w:val="001B1B45"/>
    <w:rsid w:val="001C2EE3"/>
    <w:rsid w:val="001C39F7"/>
    <w:rsid w:val="001F2681"/>
    <w:rsid w:val="00220E36"/>
    <w:rsid w:val="00225D0F"/>
    <w:rsid w:val="00252DA4"/>
    <w:rsid w:val="00256A32"/>
    <w:rsid w:val="00267EE7"/>
    <w:rsid w:val="002A464D"/>
    <w:rsid w:val="002F5703"/>
    <w:rsid w:val="003200DA"/>
    <w:rsid w:val="00331258"/>
    <w:rsid w:val="003375CE"/>
    <w:rsid w:val="00360DED"/>
    <w:rsid w:val="003810D8"/>
    <w:rsid w:val="003E5AC2"/>
    <w:rsid w:val="0042507E"/>
    <w:rsid w:val="00427D8B"/>
    <w:rsid w:val="00431333"/>
    <w:rsid w:val="00440F6C"/>
    <w:rsid w:val="00471610"/>
    <w:rsid w:val="0048556D"/>
    <w:rsid w:val="0049252F"/>
    <w:rsid w:val="004A0525"/>
    <w:rsid w:val="004B7C7E"/>
    <w:rsid w:val="004C3787"/>
    <w:rsid w:val="004E77CE"/>
    <w:rsid w:val="004F0D5A"/>
    <w:rsid w:val="005005F5"/>
    <w:rsid w:val="00551701"/>
    <w:rsid w:val="00585323"/>
    <w:rsid w:val="00594C56"/>
    <w:rsid w:val="005968BB"/>
    <w:rsid w:val="005A2A0D"/>
    <w:rsid w:val="005A3AFC"/>
    <w:rsid w:val="005B2273"/>
    <w:rsid w:val="005C01E1"/>
    <w:rsid w:val="005C0DE4"/>
    <w:rsid w:val="00640C73"/>
    <w:rsid w:val="006417AF"/>
    <w:rsid w:val="006B78A7"/>
    <w:rsid w:val="006C23CE"/>
    <w:rsid w:val="006E1A80"/>
    <w:rsid w:val="00703977"/>
    <w:rsid w:val="00711AB8"/>
    <w:rsid w:val="00771846"/>
    <w:rsid w:val="007C6163"/>
    <w:rsid w:val="00816F46"/>
    <w:rsid w:val="008208BA"/>
    <w:rsid w:val="00841FAE"/>
    <w:rsid w:val="00895379"/>
    <w:rsid w:val="008A36C1"/>
    <w:rsid w:val="008A4F7F"/>
    <w:rsid w:val="008C2606"/>
    <w:rsid w:val="008E200D"/>
    <w:rsid w:val="008F778E"/>
    <w:rsid w:val="00936653"/>
    <w:rsid w:val="00963192"/>
    <w:rsid w:val="00973F36"/>
    <w:rsid w:val="009740BB"/>
    <w:rsid w:val="00981A5A"/>
    <w:rsid w:val="00990D7F"/>
    <w:rsid w:val="009C24AA"/>
    <w:rsid w:val="009D137C"/>
    <w:rsid w:val="00A1179D"/>
    <w:rsid w:val="00A3539A"/>
    <w:rsid w:val="00A3657C"/>
    <w:rsid w:val="00AC382F"/>
    <w:rsid w:val="00AE54F0"/>
    <w:rsid w:val="00AF0C31"/>
    <w:rsid w:val="00B167DF"/>
    <w:rsid w:val="00B32AD8"/>
    <w:rsid w:val="00B35706"/>
    <w:rsid w:val="00B645BA"/>
    <w:rsid w:val="00B837C0"/>
    <w:rsid w:val="00B92E7A"/>
    <w:rsid w:val="00BC3E9C"/>
    <w:rsid w:val="00BD4D3C"/>
    <w:rsid w:val="00BF7F61"/>
    <w:rsid w:val="00C13657"/>
    <w:rsid w:val="00C26BC2"/>
    <w:rsid w:val="00C317F5"/>
    <w:rsid w:val="00C56453"/>
    <w:rsid w:val="00C77509"/>
    <w:rsid w:val="00C85A2E"/>
    <w:rsid w:val="00C94096"/>
    <w:rsid w:val="00CC5C08"/>
    <w:rsid w:val="00D7569B"/>
    <w:rsid w:val="00DC031B"/>
    <w:rsid w:val="00DC7CA2"/>
    <w:rsid w:val="00DF1A3F"/>
    <w:rsid w:val="00E037BC"/>
    <w:rsid w:val="00E107B5"/>
    <w:rsid w:val="00E164CE"/>
    <w:rsid w:val="00E23C27"/>
    <w:rsid w:val="00E57565"/>
    <w:rsid w:val="00EA5202"/>
    <w:rsid w:val="00EA53BC"/>
    <w:rsid w:val="00F00378"/>
    <w:rsid w:val="00F06695"/>
    <w:rsid w:val="00F209E4"/>
    <w:rsid w:val="00F43AF7"/>
    <w:rsid w:val="00F62DCF"/>
    <w:rsid w:val="00F9683B"/>
    <w:rsid w:val="00FA2A9D"/>
    <w:rsid w:val="00FC75B6"/>
    <w:rsid w:val="00FD3C73"/>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25E58"/>
  <w15:docId w15:val="{9B181EF1-A229-4032-A207-D26E337DB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EA4"/>
  </w:style>
  <w:style w:type="paragraph" w:styleId="Heading1">
    <w:name w:val="heading 1"/>
    <w:basedOn w:val="Normal"/>
    <w:next w:val="Normal"/>
    <w:uiPriority w:val="9"/>
    <w:qFormat/>
    <w:rsid w:val="000C3EA4"/>
    <w:pPr>
      <w:keepNext/>
      <w:keepLines/>
      <w:spacing w:before="480" w:after="120"/>
      <w:outlineLvl w:val="0"/>
    </w:pPr>
    <w:rPr>
      <w:b/>
      <w:sz w:val="48"/>
      <w:szCs w:val="48"/>
    </w:rPr>
  </w:style>
  <w:style w:type="paragraph" w:styleId="Heading2">
    <w:name w:val="heading 2"/>
    <w:basedOn w:val="Normal"/>
    <w:next w:val="Normal"/>
    <w:uiPriority w:val="9"/>
    <w:unhideWhenUsed/>
    <w:qFormat/>
    <w:rsid w:val="000C3EA4"/>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0C3EA4"/>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C3EA4"/>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C3EA4"/>
    <w:pPr>
      <w:keepNext/>
      <w:keepLines/>
      <w:spacing w:before="220" w:after="40"/>
      <w:outlineLvl w:val="4"/>
    </w:pPr>
    <w:rPr>
      <w:b/>
    </w:rPr>
  </w:style>
  <w:style w:type="paragraph" w:styleId="Heading6">
    <w:name w:val="heading 6"/>
    <w:basedOn w:val="Normal"/>
    <w:next w:val="Normal"/>
    <w:uiPriority w:val="9"/>
    <w:semiHidden/>
    <w:unhideWhenUsed/>
    <w:qFormat/>
    <w:rsid w:val="000C3EA4"/>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0C3EA4"/>
    <w:tblPr>
      <w:tblCellMar>
        <w:top w:w="0" w:type="dxa"/>
        <w:left w:w="0" w:type="dxa"/>
        <w:bottom w:w="0" w:type="dxa"/>
        <w:right w:w="0" w:type="dxa"/>
      </w:tblCellMar>
    </w:tblPr>
  </w:style>
  <w:style w:type="paragraph" w:styleId="Title">
    <w:name w:val="Title"/>
    <w:basedOn w:val="Normal"/>
    <w:next w:val="Normal"/>
    <w:uiPriority w:val="10"/>
    <w:qFormat/>
    <w:rsid w:val="000C3EA4"/>
    <w:pPr>
      <w:keepNext/>
      <w:keepLines/>
      <w:spacing w:before="480" w:after="120"/>
    </w:pPr>
    <w:rPr>
      <w:b/>
      <w:sz w:val="72"/>
      <w:szCs w:val="72"/>
    </w:rPr>
  </w:style>
  <w:style w:type="paragraph" w:customStyle="1" w:styleId="IMARAHJUDUL">
    <w:name w:val="IMARAH_JUDUL"/>
    <w:basedOn w:val="Normal"/>
    <w:qFormat/>
    <w:rsid w:val="00C466B3"/>
    <w:pPr>
      <w:spacing w:after="0" w:line="240" w:lineRule="auto"/>
      <w:contextualSpacing/>
    </w:pPr>
    <w:rPr>
      <w:rFonts w:cstheme="minorHAnsi"/>
      <w:b/>
      <w:sz w:val="36"/>
      <w:szCs w:val="36"/>
    </w:rPr>
  </w:style>
  <w:style w:type="paragraph" w:customStyle="1" w:styleId="IMARAHPENULIS">
    <w:name w:val="IMARAH_PENULIS"/>
    <w:basedOn w:val="Normal"/>
    <w:qFormat/>
    <w:rsid w:val="00C466B3"/>
    <w:pPr>
      <w:spacing w:after="0" w:line="240" w:lineRule="auto"/>
      <w:contextualSpacing/>
    </w:pPr>
    <w:rPr>
      <w:b/>
    </w:rPr>
  </w:style>
  <w:style w:type="paragraph" w:customStyle="1" w:styleId="IMARAHINSTANSI">
    <w:name w:val="IMARAH_INSTANSI"/>
    <w:basedOn w:val="Normal"/>
    <w:qFormat/>
    <w:rsid w:val="00486D33"/>
    <w:pPr>
      <w:spacing w:after="0" w:line="240" w:lineRule="auto"/>
      <w:contextualSpacing/>
    </w:pPr>
    <w:rPr>
      <w:i/>
      <w:sz w:val="18"/>
      <w:szCs w:val="18"/>
    </w:rPr>
  </w:style>
  <w:style w:type="character" w:styleId="Hyperlink">
    <w:name w:val="Hyperlink"/>
    <w:basedOn w:val="DefaultParagraphFont"/>
    <w:uiPriority w:val="99"/>
    <w:unhideWhenUsed/>
    <w:rsid w:val="00C466B3"/>
    <w:rPr>
      <w:color w:val="0563C1" w:themeColor="hyperlink"/>
      <w:u w:val="single"/>
    </w:rPr>
  </w:style>
  <w:style w:type="paragraph" w:styleId="ListParagraph">
    <w:name w:val="List Paragraph"/>
    <w:basedOn w:val="Normal"/>
    <w:uiPriority w:val="34"/>
    <w:qFormat/>
    <w:rsid w:val="008F43B4"/>
    <w:pPr>
      <w:ind w:left="720"/>
      <w:contextualSpacing/>
    </w:pPr>
  </w:style>
  <w:style w:type="character" w:styleId="CommentReference">
    <w:name w:val="annotation reference"/>
    <w:basedOn w:val="DefaultParagraphFont"/>
    <w:uiPriority w:val="99"/>
    <w:semiHidden/>
    <w:unhideWhenUsed/>
    <w:rsid w:val="008F43B4"/>
    <w:rPr>
      <w:sz w:val="16"/>
      <w:szCs w:val="16"/>
    </w:rPr>
  </w:style>
  <w:style w:type="paragraph" w:styleId="CommentText">
    <w:name w:val="annotation text"/>
    <w:basedOn w:val="Normal"/>
    <w:link w:val="CommentTextChar"/>
    <w:uiPriority w:val="99"/>
    <w:semiHidden/>
    <w:unhideWhenUsed/>
    <w:rsid w:val="008F43B4"/>
    <w:pPr>
      <w:spacing w:line="240" w:lineRule="auto"/>
    </w:pPr>
    <w:rPr>
      <w:sz w:val="20"/>
      <w:szCs w:val="20"/>
    </w:rPr>
  </w:style>
  <w:style w:type="character" w:customStyle="1" w:styleId="CommentTextChar">
    <w:name w:val="Comment Text Char"/>
    <w:basedOn w:val="DefaultParagraphFont"/>
    <w:link w:val="CommentText"/>
    <w:uiPriority w:val="99"/>
    <w:semiHidden/>
    <w:rsid w:val="008F43B4"/>
    <w:rPr>
      <w:sz w:val="20"/>
      <w:szCs w:val="20"/>
    </w:rPr>
  </w:style>
  <w:style w:type="paragraph" w:styleId="CommentSubject">
    <w:name w:val="annotation subject"/>
    <w:basedOn w:val="CommentText"/>
    <w:next w:val="CommentText"/>
    <w:link w:val="CommentSubjectChar"/>
    <w:uiPriority w:val="99"/>
    <w:semiHidden/>
    <w:unhideWhenUsed/>
    <w:rsid w:val="008F43B4"/>
    <w:rPr>
      <w:b/>
      <w:bCs/>
    </w:rPr>
  </w:style>
  <w:style w:type="character" w:customStyle="1" w:styleId="CommentSubjectChar">
    <w:name w:val="Comment Subject Char"/>
    <w:basedOn w:val="CommentTextChar"/>
    <w:link w:val="CommentSubject"/>
    <w:uiPriority w:val="99"/>
    <w:semiHidden/>
    <w:rsid w:val="008F43B4"/>
    <w:rPr>
      <w:b/>
      <w:bCs/>
      <w:sz w:val="20"/>
      <w:szCs w:val="20"/>
    </w:rPr>
  </w:style>
  <w:style w:type="paragraph" w:styleId="BalloonText">
    <w:name w:val="Balloon Text"/>
    <w:basedOn w:val="Normal"/>
    <w:link w:val="BalloonTextChar"/>
    <w:uiPriority w:val="99"/>
    <w:semiHidden/>
    <w:unhideWhenUsed/>
    <w:rsid w:val="008F43B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43B4"/>
    <w:rPr>
      <w:rFonts w:ascii="Segoe UI" w:hAnsi="Segoe UI" w:cs="Segoe UI"/>
      <w:sz w:val="18"/>
      <w:szCs w:val="18"/>
    </w:rPr>
  </w:style>
  <w:style w:type="paragraph" w:customStyle="1" w:styleId="IMARAHBAB">
    <w:name w:val="IMARAH_BAB"/>
    <w:basedOn w:val="Normal"/>
    <w:qFormat/>
    <w:rsid w:val="001448FF"/>
    <w:pPr>
      <w:spacing w:before="140" w:after="40" w:line="240" w:lineRule="auto"/>
    </w:pPr>
    <w:rPr>
      <w:b/>
      <w:caps/>
      <w:sz w:val="24"/>
      <w:szCs w:val="24"/>
    </w:rPr>
  </w:style>
  <w:style w:type="paragraph" w:customStyle="1" w:styleId="IMARAHISI">
    <w:name w:val="IMARAH_ISI"/>
    <w:basedOn w:val="Normal"/>
    <w:qFormat/>
    <w:rsid w:val="009463FE"/>
    <w:pPr>
      <w:spacing w:after="100" w:line="240" w:lineRule="auto"/>
      <w:ind w:firstLine="454"/>
      <w:jc w:val="both"/>
    </w:pPr>
  </w:style>
  <w:style w:type="paragraph" w:customStyle="1" w:styleId="IMARAHSUBBAB">
    <w:name w:val="IMARAH_SUBBAB"/>
    <w:basedOn w:val="Normal"/>
    <w:qFormat/>
    <w:rsid w:val="00D94B7F"/>
    <w:pPr>
      <w:spacing w:before="100" w:after="40" w:line="240" w:lineRule="auto"/>
    </w:pPr>
    <w:rPr>
      <w:b/>
      <w:sz w:val="24"/>
      <w:szCs w:val="24"/>
    </w:rPr>
  </w:style>
  <w:style w:type="paragraph" w:customStyle="1" w:styleId="IMARAHTABEL">
    <w:name w:val="IMARAH_TABEL"/>
    <w:basedOn w:val="IMARAHISI"/>
    <w:qFormat/>
    <w:rsid w:val="00C62618"/>
    <w:pPr>
      <w:ind w:firstLine="0"/>
      <w:jc w:val="center"/>
    </w:pPr>
    <w:rPr>
      <w:sz w:val="20"/>
    </w:rPr>
  </w:style>
  <w:style w:type="table" w:styleId="TableGrid">
    <w:name w:val="Table Grid"/>
    <w:basedOn w:val="TableNormal"/>
    <w:uiPriority w:val="39"/>
    <w:rsid w:val="00C626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C6261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MARAHREFERENSI">
    <w:name w:val="IMARAH_REFERENSI"/>
    <w:basedOn w:val="IMARAHISI"/>
    <w:qFormat/>
    <w:rsid w:val="00A9040E"/>
    <w:pPr>
      <w:spacing w:after="0"/>
      <w:ind w:left="454" w:hanging="454"/>
    </w:pPr>
  </w:style>
  <w:style w:type="table" w:customStyle="1" w:styleId="PlainTable41">
    <w:name w:val="Plain Table 41"/>
    <w:basedOn w:val="TableNormal"/>
    <w:uiPriority w:val="44"/>
    <w:rsid w:val="00486D3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5Dark-Accent31">
    <w:name w:val="Grid Table 5 Dark - Accent 31"/>
    <w:basedOn w:val="TableNormal"/>
    <w:uiPriority w:val="50"/>
    <w:rsid w:val="00486D3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IMARAHKATAKUNCI">
    <w:name w:val="IMARAH_KATAKUNCI"/>
    <w:basedOn w:val="Normal"/>
    <w:qFormat/>
    <w:rsid w:val="003435D3"/>
    <w:pPr>
      <w:spacing w:before="60" w:after="0" w:line="240" w:lineRule="auto"/>
    </w:pPr>
    <w:rPr>
      <w:b/>
      <w:sz w:val="20"/>
      <w:szCs w:val="20"/>
    </w:rPr>
  </w:style>
  <w:style w:type="paragraph" w:customStyle="1" w:styleId="IMARAHABSTRAK">
    <w:name w:val="IMARAH_ABSTRAK"/>
    <w:basedOn w:val="Normal"/>
    <w:qFormat/>
    <w:rsid w:val="00D64688"/>
    <w:pPr>
      <w:spacing w:after="0" w:line="240" w:lineRule="auto"/>
      <w:jc w:val="both"/>
    </w:pPr>
    <w:rPr>
      <w:sz w:val="20"/>
      <w:szCs w:val="20"/>
    </w:rPr>
  </w:style>
  <w:style w:type="paragraph" w:styleId="Header">
    <w:name w:val="header"/>
    <w:basedOn w:val="Normal"/>
    <w:link w:val="HeaderChar"/>
    <w:uiPriority w:val="99"/>
    <w:unhideWhenUsed/>
    <w:rsid w:val="00D64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4688"/>
  </w:style>
  <w:style w:type="paragraph" w:styleId="Footer">
    <w:name w:val="footer"/>
    <w:basedOn w:val="Normal"/>
    <w:link w:val="FooterChar"/>
    <w:uiPriority w:val="99"/>
    <w:unhideWhenUsed/>
    <w:rsid w:val="00D64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4688"/>
  </w:style>
  <w:style w:type="paragraph" w:styleId="Subtitle">
    <w:name w:val="Subtitle"/>
    <w:basedOn w:val="Normal"/>
    <w:next w:val="Normal"/>
    <w:uiPriority w:val="11"/>
    <w:qFormat/>
    <w:rsid w:val="000C3EA4"/>
    <w:pPr>
      <w:keepNext/>
      <w:keepLines/>
      <w:spacing w:before="360" w:after="80"/>
    </w:pPr>
    <w:rPr>
      <w:rFonts w:ascii="Georgia" w:eastAsia="Georgia" w:hAnsi="Georgia" w:cs="Georgia"/>
      <w:i/>
      <w:color w:val="666666"/>
      <w:sz w:val="48"/>
      <w:szCs w:val="48"/>
    </w:rPr>
  </w:style>
  <w:style w:type="table" w:customStyle="1" w:styleId="a">
    <w:basedOn w:val="TableNormal"/>
    <w:rsid w:val="000C3EA4"/>
    <w:pPr>
      <w:spacing w:after="0" w:line="240" w:lineRule="auto"/>
    </w:pPr>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Strong">
    <w:name w:val="Strong"/>
    <w:basedOn w:val="DefaultParagraphFont"/>
    <w:uiPriority w:val="22"/>
    <w:qFormat/>
    <w:rsid w:val="008F778E"/>
    <w:rPr>
      <w:b/>
      <w:bCs/>
    </w:rPr>
  </w:style>
  <w:style w:type="character" w:styleId="Emphasis">
    <w:name w:val="Emphasis"/>
    <w:basedOn w:val="DefaultParagraphFont"/>
    <w:uiPriority w:val="20"/>
    <w:qFormat/>
    <w:rsid w:val="008F778E"/>
    <w:rPr>
      <w:i/>
      <w:iCs/>
    </w:rPr>
  </w:style>
  <w:style w:type="paragraph" w:customStyle="1" w:styleId="my-0">
    <w:name w:val="my-0"/>
    <w:basedOn w:val="Normal"/>
    <w:rsid w:val="00D7569B"/>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semiHidden/>
    <w:unhideWhenUsed/>
    <w:rsid w:val="00C775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77509"/>
    <w:rPr>
      <w:sz w:val="20"/>
      <w:szCs w:val="20"/>
    </w:rPr>
  </w:style>
  <w:style w:type="character" w:styleId="FootnoteReference">
    <w:name w:val="footnote reference"/>
    <w:basedOn w:val="DefaultParagraphFont"/>
    <w:uiPriority w:val="99"/>
    <w:semiHidden/>
    <w:unhideWhenUsed/>
    <w:rsid w:val="00C77509"/>
    <w:rPr>
      <w:vertAlign w:val="superscript"/>
    </w:rPr>
  </w:style>
  <w:style w:type="character" w:customStyle="1" w:styleId="hoverbg-super">
    <w:name w:val="hover:bg-super"/>
    <w:basedOn w:val="DefaultParagraphFont"/>
    <w:rsid w:val="00105018"/>
  </w:style>
  <w:style w:type="character" w:styleId="FollowedHyperlink">
    <w:name w:val="FollowedHyperlink"/>
    <w:basedOn w:val="DefaultParagraphFont"/>
    <w:uiPriority w:val="99"/>
    <w:semiHidden/>
    <w:unhideWhenUsed/>
    <w:rsid w:val="00DC7CA2"/>
    <w:rPr>
      <w:color w:val="954F72" w:themeColor="followedHyperlink"/>
      <w:u w:val="single"/>
    </w:rPr>
  </w:style>
  <w:style w:type="paragraph" w:styleId="NormalWeb">
    <w:name w:val="Normal (Web)"/>
    <w:basedOn w:val="Normal"/>
    <w:uiPriority w:val="99"/>
    <w:semiHidden/>
    <w:unhideWhenUsed/>
    <w:rsid w:val="00256A32"/>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317382">
      <w:bodyDiv w:val="1"/>
      <w:marLeft w:val="0"/>
      <w:marRight w:val="0"/>
      <w:marTop w:val="0"/>
      <w:marBottom w:val="0"/>
      <w:divBdr>
        <w:top w:val="none" w:sz="0" w:space="0" w:color="auto"/>
        <w:left w:val="none" w:sz="0" w:space="0" w:color="auto"/>
        <w:bottom w:val="none" w:sz="0" w:space="0" w:color="auto"/>
        <w:right w:val="none" w:sz="0" w:space="0" w:color="auto"/>
      </w:divBdr>
    </w:div>
    <w:div w:id="66343868">
      <w:bodyDiv w:val="1"/>
      <w:marLeft w:val="0"/>
      <w:marRight w:val="0"/>
      <w:marTop w:val="0"/>
      <w:marBottom w:val="0"/>
      <w:divBdr>
        <w:top w:val="none" w:sz="0" w:space="0" w:color="auto"/>
        <w:left w:val="none" w:sz="0" w:space="0" w:color="auto"/>
        <w:bottom w:val="none" w:sz="0" w:space="0" w:color="auto"/>
        <w:right w:val="none" w:sz="0" w:space="0" w:color="auto"/>
      </w:divBdr>
    </w:div>
    <w:div w:id="70665612">
      <w:bodyDiv w:val="1"/>
      <w:marLeft w:val="0"/>
      <w:marRight w:val="0"/>
      <w:marTop w:val="0"/>
      <w:marBottom w:val="0"/>
      <w:divBdr>
        <w:top w:val="none" w:sz="0" w:space="0" w:color="auto"/>
        <w:left w:val="none" w:sz="0" w:space="0" w:color="auto"/>
        <w:bottom w:val="none" w:sz="0" w:space="0" w:color="auto"/>
        <w:right w:val="none" w:sz="0" w:space="0" w:color="auto"/>
      </w:divBdr>
    </w:div>
    <w:div w:id="94862869">
      <w:bodyDiv w:val="1"/>
      <w:marLeft w:val="0"/>
      <w:marRight w:val="0"/>
      <w:marTop w:val="0"/>
      <w:marBottom w:val="0"/>
      <w:divBdr>
        <w:top w:val="none" w:sz="0" w:space="0" w:color="auto"/>
        <w:left w:val="none" w:sz="0" w:space="0" w:color="auto"/>
        <w:bottom w:val="none" w:sz="0" w:space="0" w:color="auto"/>
        <w:right w:val="none" w:sz="0" w:space="0" w:color="auto"/>
      </w:divBdr>
    </w:div>
    <w:div w:id="180245383">
      <w:bodyDiv w:val="1"/>
      <w:marLeft w:val="0"/>
      <w:marRight w:val="0"/>
      <w:marTop w:val="0"/>
      <w:marBottom w:val="0"/>
      <w:divBdr>
        <w:top w:val="none" w:sz="0" w:space="0" w:color="auto"/>
        <w:left w:val="none" w:sz="0" w:space="0" w:color="auto"/>
        <w:bottom w:val="none" w:sz="0" w:space="0" w:color="auto"/>
        <w:right w:val="none" w:sz="0" w:space="0" w:color="auto"/>
      </w:divBdr>
    </w:div>
    <w:div w:id="181554823">
      <w:bodyDiv w:val="1"/>
      <w:marLeft w:val="0"/>
      <w:marRight w:val="0"/>
      <w:marTop w:val="0"/>
      <w:marBottom w:val="0"/>
      <w:divBdr>
        <w:top w:val="none" w:sz="0" w:space="0" w:color="auto"/>
        <w:left w:val="none" w:sz="0" w:space="0" w:color="auto"/>
        <w:bottom w:val="none" w:sz="0" w:space="0" w:color="auto"/>
        <w:right w:val="none" w:sz="0" w:space="0" w:color="auto"/>
      </w:divBdr>
    </w:div>
    <w:div w:id="212426378">
      <w:bodyDiv w:val="1"/>
      <w:marLeft w:val="0"/>
      <w:marRight w:val="0"/>
      <w:marTop w:val="0"/>
      <w:marBottom w:val="0"/>
      <w:divBdr>
        <w:top w:val="none" w:sz="0" w:space="0" w:color="auto"/>
        <w:left w:val="none" w:sz="0" w:space="0" w:color="auto"/>
        <w:bottom w:val="none" w:sz="0" w:space="0" w:color="auto"/>
        <w:right w:val="none" w:sz="0" w:space="0" w:color="auto"/>
      </w:divBdr>
    </w:div>
    <w:div w:id="214776295">
      <w:bodyDiv w:val="1"/>
      <w:marLeft w:val="0"/>
      <w:marRight w:val="0"/>
      <w:marTop w:val="0"/>
      <w:marBottom w:val="0"/>
      <w:divBdr>
        <w:top w:val="none" w:sz="0" w:space="0" w:color="auto"/>
        <w:left w:val="none" w:sz="0" w:space="0" w:color="auto"/>
        <w:bottom w:val="none" w:sz="0" w:space="0" w:color="auto"/>
        <w:right w:val="none" w:sz="0" w:space="0" w:color="auto"/>
      </w:divBdr>
    </w:div>
    <w:div w:id="228421031">
      <w:bodyDiv w:val="1"/>
      <w:marLeft w:val="0"/>
      <w:marRight w:val="0"/>
      <w:marTop w:val="0"/>
      <w:marBottom w:val="0"/>
      <w:divBdr>
        <w:top w:val="none" w:sz="0" w:space="0" w:color="auto"/>
        <w:left w:val="none" w:sz="0" w:space="0" w:color="auto"/>
        <w:bottom w:val="none" w:sz="0" w:space="0" w:color="auto"/>
        <w:right w:val="none" w:sz="0" w:space="0" w:color="auto"/>
      </w:divBdr>
    </w:div>
    <w:div w:id="241255897">
      <w:bodyDiv w:val="1"/>
      <w:marLeft w:val="0"/>
      <w:marRight w:val="0"/>
      <w:marTop w:val="0"/>
      <w:marBottom w:val="0"/>
      <w:divBdr>
        <w:top w:val="none" w:sz="0" w:space="0" w:color="auto"/>
        <w:left w:val="none" w:sz="0" w:space="0" w:color="auto"/>
        <w:bottom w:val="none" w:sz="0" w:space="0" w:color="auto"/>
        <w:right w:val="none" w:sz="0" w:space="0" w:color="auto"/>
      </w:divBdr>
    </w:div>
    <w:div w:id="273640084">
      <w:bodyDiv w:val="1"/>
      <w:marLeft w:val="0"/>
      <w:marRight w:val="0"/>
      <w:marTop w:val="0"/>
      <w:marBottom w:val="0"/>
      <w:divBdr>
        <w:top w:val="none" w:sz="0" w:space="0" w:color="auto"/>
        <w:left w:val="none" w:sz="0" w:space="0" w:color="auto"/>
        <w:bottom w:val="none" w:sz="0" w:space="0" w:color="auto"/>
        <w:right w:val="none" w:sz="0" w:space="0" w:color="auto"/>
      </w:divBdr>
    </w:div>
    <w:div w:id="344752036">
      <w:bodyDiv w:val="1"/>
      <w:marLeft w:val="0"/>
      <w:marRight w:val="0"/>
      <w:marTop w:val="0"/>
      <w:marBottom w:val="0"/>
      <w:divBdr>
        <w:top w:val="none" w:sz="0" w:space="0" w:color="auto"/>
        <w:left w:val="none" w:sz="0" w:space="0" w:color="auto"/>
        <w:bottom w:val="none" w:sz="0" w:space="0" w:color="auto"/>
        <w:right w:val="none" w:sz="0" w:space="0" w:color="auto"/>
      </w:divBdr>
    </w:div>
    <w:div w:id="348719025">
      <w:bodyDiv w:val="1"/>
      <w:marLeft w:val="0"/>
      <w:marRight w:val="0"/>
      <w:marTop w:val="0"/>
      <w:marBottom w:val="0"/>
      <w:divBdr>
        <w:top w:val="none" w:sz="0" w:space="0" w:color="auto"/>
        <w:left w:val="none" w:sz="0" w:space="0" w:color="auto"/>
        <w:bottom w:val="none" w:sz="0" w:space="0" w:color="auto"/>
        <w:right w:val="none" w:sz="0" w:space="0" w:color="auto"/>
      </w:divBdr>
    </w:div>
    <w:div w:id="357777616">
      <w:bodyDiv w:val="1"/>
      <w:marLeft w:val="0"/>
      <w:marRight w:val="0"/>
      <w:marTop w:val="0"/>
      <w:marBottom w:val="0"/>
      <w:divBdr>
        <w:top w:val="none" w:sz="0" w:space="0" w:color="auto"/>
        <w:left w:val="none" w:sz="0" w:space="0" w:color="auto"/>
        <w:bottom w:val="none" w:sz="0" w:space="0" w:color="auto"/>
        <w:right w:val="none" w:sz="0" w:space="0" w:color="auto"/>
      </w:divBdr>
    </w:div>
    <w:div w:id="373821341">
      <w:bodyDiv w:val="1"/>
      <w:marLeft w:val="0"/>
      <w:marRight w:val="0"/>
      <w:marTop w:val="0"/>
      <w:marBottom w:val="0"/>
      <w:divBdr>
        <w:top w:val="none" w:sz="0" w:space="0" w:color="auto"/>
        <w:left w:val="none" w:sz="0" w:space="0" w:color="auto"/>
        <w:bottom w:val="none" w:sz="0" w:space="0" w:color="auto"/>
        <w:right w:val="none" w:sz="0" w:space="0" w:color="auto"/>
      </w:divBdr>
    </w:div>
    <w:div w:id="378094912">
      <w:bodyDiv w:val="1"/>
      <w:marLeft w:val="0"/>
      <w:marRight w:val="0"/>
      <w:marTop w:val="0"/>
      <w:marBottom w:val="0"/>
      <w:divBdr>
        <w:top w:val="none" w:sz="0" w:space="0" w:color="auto"/>
        <w:left w:val="none" w:sz="0" w:space="0" w:color="auto"/>
        <w:bottom w:val="none" w:sz="0" w:space="0" w:color="auto"/>
        <w:right w:val="none" w:sz="0" w:space="0" w:color="auto"/>
      </w:divBdr>
    </w:div>
    <w:div w:id="413087654">
      <w:bodyDiv w:val="1"/>
      <w:marLeft w:val="0"/>
      <w:marRight w:val="0"/>
      <w:marTop w:val="0"/>
      <w:marBottom w:val="0"/>
      <w:divBdr>
        <w:top w:val="none" w:sz="0" w:space="0" w:color="auto"/>
        <w:left w:val="none" w:sz="0" w:space="0" w:color="auto"/>
        <w:bottom w:val="none" w:sz="0" w:space="0" w:color="auto"/>
        <w:right w:val="none" w:sz="0" w:space="0" w:color="auto"/>
      </w:divBdr>
    </w:div>
    <w:div w:id="423646982">
      <w:bodyDiv w:val="1"/>
      <w:marLeft w:val="0"/>
      <w:marRight w:val="0"/>
      <w:marTop w:val="0"/>
      <w:marBottom w:val="0"/>
      <w:divBdr>
        <w:top w:val="none" w:sz="0" w:space="0" w:color="auto"/>
        <w:left w:val="none" w:sz="0" w:space="0" w:color="auto"/>
        <w:bottom w:val="none" w:sz="0" w:space="0" w:color="auto"/>
        <w:right w:val="none" w:sz="0" w:space="0" w:color="auto"/>
      </w:divBdr>
    </w:div>
    <w:div w:id="425998193">
      <w:bodyDiv w:val="1"/>
      <w:marLeft w:val="0"/>
      <w:marRight w:val="0"/>
      <w:marTop w:val="0"/>
      <w:marBottom w:val="0"/>
      <w:divBdr>
        <w:top w:val="none" w:sz="0" w:space="0" w:color="auto"/>
        <w:left w:val="none" w:sz="0" w:space="0" w:color="auto"/>
        <w:bottom w:val="none" w:sz="0" w:space="0" w:color="auto"/>
        <w:right w:val="none" w:sz="0" w:space="0" w:color="auto"/>
      </w:divBdr>
    </w:div>
    <w:div w:id="460344767">
      <w:bodyDiv w:val="1"/>
      <w:marLeft w:val="0"/>
      <w:marRight w:val="0"/>
      <w:marTop w:val="0"/>
      <w:marBottom w:val="0"/>
      <w:divBdr>
        <w:top w:val="none" w:sz="0" w:space="0" w:color="auto"/>
        <w:left w:val="none" w:sz="0" w:space="0" w:color="auto"/>
        <w:bottom w:val="none" w:sz="0" w:space="0" w:color="auto"/>
        <w:right w:val="none" w:sz="0" w:space="0" w:color="auto"/>
      </w:divBdr>
    </w:div>
    <w:div w:id="515272379">
      <w:bodyDiv w:val="1"/>
      <w:marLeft w:val="0"/>
      <w:marRight w:val="0"/>
      <w:marTop w:val="0"/>
      <w:marBottom w:val="0"/>
      <w:divBdr>
        <w:top w:val="none" w:sz="0" w:space="0" w:color="auto"/>
        <w:left w:val="none" w:sz="0" w:space="0" w:color="auto"/>
        <w:bottom w:val="none" w:sz="0" w:space="0" w:color="auto"/>
        <w:right w:val="none" w:sz="0" w:space="0" w:color="auto"/>
      </w:divBdr>
    </w:div>
    <w:div w:id="517427907">
      <w:bodyDiv w:val="1"/>
      <w:marLeft w:val="0"/>
      <w:marRight w:val="0"/>
      <w:marTop w:val="0"/>
      <w:marBottom w:val="0"/>
      <w:divBdr>
        <w:top w:val="none" w:sz="0" w:space="0" w:color="auto"/>
        <w:left w:val="none" w:sz="0" w:space="0" w:color="auto"/>
        <w:bottom w:val="none" w:sz="0" w:space="0" w:color="auto"/>
        <w:right w:val="none" w:sz="0" w:space="0" w:color="auto"/>
      </w:divBdr>
    </w:div>
    <w:div w:id="601032835">
      <w:bodyDiv w:val="1"/>
      <w:marLeft w:val="0"/>
      <w:marRight w:val="0"/>
      <w:marTop w:val="0"/>
      <w:marBottom w:val="0"/>
      <w:divBdr>
        <w:top w:val="none" w:sz="0" w:space="0" w:color="auto"/>
        <w:left w:val="none" w:sz="0" w:space="0" w:color="auto"/>
        <w:bottom w:val="none" w:sz="0" w:space="0" w:color="auto"/>
        <w:right w:val="none" w:sz="0" w:space="0" w:color="auto"/>
      </w:divBdr>
    </w:div>
    <w:div w:id="673536799">
      <w:bodyDiv w:val="1"/>
      <w:marLeft w:val="0"/>
      <w:marRight w:val="0"/>
      <w:marTop w:val="0"/>
      <w:marBottom w:val="0"/>
      <w:divBdr>
        <w:top w:val="none" w:sz="0" w:space="0" w:color="auto"/>
        <w:left w:val="none" w:sz="0" w:space="0" w:color="auto"/>
        <w:bottom w:val="none" w:sz="0" w:space="0" w:color="auto"/>
        <w:right w:val="none" w:sz="0" w:space="0" w:color="auto"/>
      </w:divBdr>
    </w:div>
    <w:div w:id="718670368">
      <w:bodyDiv w:val="1"/>
      <w:marLeft w:val="0"/>
      <w:marRight w:val="0"/>
      <w:marTop w:val="0"/>
      <w:marBottom w:val="0"/>
      <w:divBdr>
        <w:top w:val="none" w:sz="0" w:space="0" w:color="auto"/>
        <w:left w:val="none" w:sz="0" w:space="0" w:color="auto"/>
        <w:bottom w:val="none" w:sz="0" w:space="0" w:color="auto"/>
        <w:right w:val="none" w:sz="0" w:space="0" w:color="auto"/>
      </w:divBdr>
      <w:divsChild>
        <w:div w:id="944270107">
          <w:marLeft w:val="0"/>
          <w:marRight w:val="0"/>
          <w:marTop w:val="0"/>
          <w:marBottom w:val="0"/>
          <w:divBdr>
            <w:top w:val="none" w:sz="0" w:space="0" w:color="auto"/>
            <w:left w:val="none" w:sz="0" w:space="0" w:color="auto"/>
            <w:bottom w:val="none" w:sz="0" w:space="0" w:color="auto"/>
            <w:right w:val="none" w:sz="0" w:space="0" w:color="auto"/>
          </w:divBdr>
          <w:divsChild>
            <w:div w:id="789054005">
              <w:marLeft w:val="0"/>
              <w:marRight w:val="0"/>
              <w:marTop w:val="0"/>
              <w:marBottom w:val="0"/>
              <w:divBdr>
                <w:top w:val="none" w:sz="0" w:space="0" w:color="auto"/>
                <w:left w:val="none" w:sz="0" w:space="0" w:color="auto"/>
                <w:bottom w:val="none" w:sz="0" w:space="0" w:color="auto"/>
                <w:right w:val="none" w:sz="0" w:space="0" w:color="auto"/>
              </w:divBdr>
              <w:divsChild>
                <w:div w:id="1317147037">
                  <w:marLeft w:val="0"/>
                  <w:marRight w:val="0"/>
                  <w:marTop w:val="0"/>
                  <w:marBottom w:val="0"/>
                  <w:divBdr>
                    <w:top w:val="none" w:sz="0" w:space="0" w:color="auto"/>
                    <w:left w:val="none" w:sz="0" w:space="0" w:color="auto"/>
                    <w:bottom w:val="none" w:sz="0" w:space="0" w:color="auto"/>
                    <w:right w:val="none" w:sz="0" w:space="0" w:color="auto"/>
                  </w:divBdr>
                  <w:divsChild>
                    <w:div w:id="48653828">
                      <w:marLeft w:val="0"/>
                      <w:marRight w:val="0"/>
                      <w:marTop w:val="0"/>
                      <w:marBottom w:val="0"/>
                      <w:divBdr>
                        <w:top w:val="none" w:sz="0" w:space="0" w:color="auto"/>
                        <w:left w:val="none" w:sz="0" w:space="0" w:color="auto"/>
                        <w:bottom w:val="none" w:sz="0" w:space="0" w:color="auto"/>
                        <w:right w:val="none" w:sz="0" w:space="0" w:color="auto"/>
                      </w:divBdr>
                      <w:divsChild>
                        <w:div w:id="1724714625">
                          <w:marLeft w:val="0"/>
                          <w:marRight w:val="0"/>
                          <w:marTop w:val="0"/>
                          <w:marBottom w:val="0"/>
                          <w:divBdr>
                            <w:top w:val="none" w:sz="0" w:space="0" w:color="auto"/>
                            <w:left w:val="none" w:sz="0" w:space="0" w:color="auto"/>
                            <w:bottom w:val="none" w:sz="0" w:space="0" w:color="auto"/>
                            <w:right w:val="none" w:sz="0" w:space="0" w:color="auto"/>
                          </w:divBdr>
                          <w:divsChild>
                            <w:div w:id="1612740455">
                              <w:marLeft w:val="0"/>
                              <w:marRight w:val="0"/>
                              <w:marTop w:val="0"/>
                              <w:marBottom w:val="0"/>
                              <w:divBdr>
                                <w:top w:val="none" w:sz="0" w:space="0" w:color="auto"/>
                                <w:left w:val="none" w:sz="0" w:space="0" w:color="auto"/>
                                <w:bottom w:val="none" w:sz="0" w:space="0" w:color="auto"/>
                                <w:right w:val="none" w:sz="0" w:space="0" w:color="auto"/>
                              </w:divBdr>
                              <w:divsChild>
                                <w:div w:id="734009378">
                                  <w:marLeft w:val="0"/>
                                  <w:marRight w:val="0"/>
                                  <w:marTop w:val="0"/>
                                  <w:marBottom w:val="0"/>
                                  <w:divBdr>
                                    <w:top w:val="none" w:sz="0" w:space="0" w:color="auto"/>
                                    <w:left w:val="none" w:sz="0" w:space="0" w:color="auto"/>
                                    <w:bottom w:val="none" w:sz="0" w:space="0" w:color="auto"/>
                                    <w:right w:val="none" w:sz="0" w:space="0" w:color="auto"/>
                                  </w:divBdr>
                                  <w:divsChild>
                                    <w:div w:id="795561297">
                                      <w:marLeft w:val="0"/>
                                      <w:marRight w:val="0"/>
                                      <w:marTop w:val="0"/>
                                      <w:marBottom w:val="0"/>
                                      <w:divBdr>
                                        <w:top w:val="none" w:sz="0" w:space="0" w:color="auto"/>
                                        <w:left w:val="none" w:sz="0" w:space="0" w:color="auto"/>
                                        <w:bottom w:val="none" w:sz="0" w:space="0" w:color="auto"/>
                                        <w:right w:val="none" w:sz="0" w:space="0" w:color="auto"/>
                                      </w:divBdr>
                                      <w:divsChild>
                                        <w:div w:id="319041053">
                                          <w:marLeft w:val="0"/>
                                          <w:marRight w:val="0"/>
                                          <w:marTop w:val="0"/>
                                          <w:marBottom w:val="0"/>
                                          <w:divBdr>
                                            <w:top w:val="none" w:sz="0" w:space="0" w:color="auto"/>
                                            <w:left w:val="none" w:sz="0" w:space="0" w:color="auto"/>
                                            <w:bottom w:val="none" w:sz="0" w:space="0" w:color="auto"/>
                                            <w:right w:val="none" w:sz="0" w:space="0" w:color="auto"/>
                                          </w:divBdr>
                                          <w:divsChild>
                                            <w:div w:id="1207062647">
                                              <w:marLeft w:val="0"/>
                                              <w:marRight w:val="0"/>
                                              <w:marTop w:val="0"/>
                                              <w:marBottom w:val="0"/>
                                              <w:divBdr>
                                                <w:top w:val="none" w:sz="0" w:space="0" w:color="auto"/>
                                                <w:left w:val="none" w:sz="0" w:space="0" w:color="auto"/>
                                                <w:bottom w:val="none" w:sz="0" w:space="0" w:color="auto"/>
                                                <w:right w:val="none" w:sz="0" w:space="0" w:color="auto"/>
                                              </w:divBdr>
                                              <w:divsChild>
                                                <w:div w:id="895163953">
                                                  <w:marLeft w:val="0"/>
                                                  <w:marRight w:val="0"/>
                                                  <w:marTop w:val="0"/>
                                                  <w:marBottom w:val="0"/>
                                                  <w:divBdr>
                                                    <w:top w:val="none" w:sz="0" w:space="0" w:color="auto"/>
                                                    <w:left w:val="none" w:sz="0" w:space="0" w:color="auto"/>
                                                    <w:bottom w:val="none" w:sz="0" w:space="0" w:color="auto"/>
                                                    <w:right w:val="none" w:sz="0" w:space="0" w:color="auto"/>
                                                  </w:divBdr>
                                                  <w:divsChild>
                                                    <w:div w:id="17721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78242008">
          <w:marLeft w:val="0"/>
          <w:marRight w:val="0"/>
          <w:marTop w:val="0"/>
          <w:marBottom w:val="0"/>
          <w:divBdr>
            <w:top w:val="none" w:sz="0" w:space="0" w:color="auto"/>
            <w:left w:val="none" w:sz="0" w:space="0" w:color="auto"/>
            <w:bottom w:val="none" w:sz="0" w:space="0" w:color="auto"/>
            <w:right w:val="none" w:sz="0" w:space="0" w:color="auto"/>
          </w:divBdr>
          <w:divsChild>
            <w:div w:id="732580966">
              <w:marLeft w:val="0"/>
              <w:marRight w:val="0"/>
              <w:marTop w:val="0"/>
              <w:marBottom w:val="0"/>
              <w:divBdr>
                <w:top w:val="none" w:sz="0" w:space="0" w:color="auto"/>
                <w:left w:val="none" w:sz="0" w:space="0" w:color="auto"/>
                <w:bottom w:val="none" w:sz="0" w:space="0" w:color="auto"/>
                <w:right w:val="none" w:sz="0" w:space="0" w:color="auto"/>
              </w:divBdr>
              <w:divsChild>
                <w:div w:id="844589888">
                  <w:marLeft w:val="0"/>
                  <w:marRight w:val="0"/>
                  <w:marTop w:val="0"/>
                  <w:marBottom w:val="0"/>
                  <w:divBdr>
                    <w:top w:val="none" w:sz="0" w:space="0" w:color="auto"/>
                    <w:left w:val="none" w:sz="0" w:space="0" w:color="auto"/>
                    <w:bottom w:val="none" w:sz="0" w:space="0" w:color="auto"/>
                    <w:right w:val="none" w:sz="0" w:space="0" w:color="auto"/>
                  </w:divBdr>
                  <w:divsChild>
                    <w:div w:id="1219168468">
                      <w:marLeft w:val="0"/>
                      <w:marRight w:val="0"/>
                      <w:marTop w:val="0"/>
                      <w:marBottom w:val="0"/>
                      <w:divBdr>
                        <w:top w:val="none" w:sz="0" w:space="0" w:color="auto"/>
                        <w:left w:val="none" w:sz="0" w:space="0" w:color="auto"/>
                        <w:bottom w:val="none" w:sz="0" w:space="0" w:color="auto"/>
                        <w:right w:val="none" w:sz="0" w:space="0" w:color="auto"/>
                      </w:divBdr>
                      <w:divsChild>
                        <w:div w:id="497962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8422732">
      <w:bodyDiv w:val="1"/>
      <w:marLeft w:val="0"/>
      <w:marRight w:val="0"/>
      <w:marTop w:val="0"/>
      <w:marBottom w:val="0"/>
      <w:divBdr>
        <w:top w:val="none" w:sz="0" w:space="0" w:color="auto"/>
        <w:left w:val="none" w:sz="0" w:space="0" w:color="auto"/>
        <w:bottom w:val="none" w:sz="0" w:space="0" w:color="auto"/>
        <w:right w:val="none" w:sz="0" w:space="0" w:color="auto"/>
      </w:divBdr>
    </w:div>
    <w:div w:id="907305865">
      <w:bodyDiv w:val="1"/>
      <w:marLeft w:val="0"/>
      <w:marRight w:val="0"/>
      <w:marTop w:val="0"/>
      <w:marBottom w:val="0"/>
      <w:divBdr>
        <w:top w:val="none" w:sz="0" w:space="0" w:color="auto"/>
        <w:left w:val="none" w:sz="0" w:space="0" w:color="auto"/>
        <w:bottom w:val="none" w:sz="0" w:space="0" w:color="auto"/>
        <w:right w:val="none" w:sz="0" w:space="0" w:color="auto"/>
      </w:divBdr>
    </w:div>
    <w:div w:id="989943845">
      <w:bodyDiv w:val="1"/>
      <w:marLeft w:val="0"/>
      <w:marRight w:val="0"/>
      <w:marTop w:val="0"/>
      <w:marBottom w:val="0"/>
      <w:divBdr>
        <w:top w:val="none" w:sz="0" w:space="0" w:color="auto"/>
        <w:left w:val="none" w:sz="0" w:space="0" w:color="auto"/>
        <w:bottom w:val="none" w:sz="0" w:space="0" w:color="auto"/>
        <w:right w:val="none" w:sz="0" w:space="0" w:color="auto"/>
      </w:divBdr>
    </w:div>
    <w:div w:id="997735118">
      <w:bodyDiv w:val="1"/>
      <w:marLeft w:val="0"/>
      <w:marRight w:val="0"/>
      <w:marTop w:val="0"/>
      <w:marBottom w:val="0"/>
      <w:divBdr>
        <w:top w:val="none" w:sz="0" w:space="0" w:color="auto"/>
        <w:left w:val="none" w:sz="0" w:space="0" w:color="auto"/>
        <w:bottom w:val="none" w:sz="0" w:space="0" w:color="auto"/>
        <w:right w:val="none" w:sz="0" w:space="0" w:color="auto"/>
      </w:divBdr>
    </w:div>
    <w:div w:id="1009678129">
      <w:bodyDiv w:val="1"/>
      <w:marLeft w:val="0"/>
      <w:marRight w:val="0"/>
      <w:marTop w:val="0"/>
      <w:marBottom w:val="0"/>
      <w:divBdr>
        <w:top w:val="none" w:sz="0" w:space="0" w:color="auto"/>
        <w:left w:val="none" w:sz="0" w:space="0" w:color="auto"/>
        <w:bottom w:val="none" w:sz="0" w:space="0" w:color="auto"/>
        <w:right w:val="none" w:sz="0" w:space="0" w:color="auto"/>
      </w:divBdr>
    </w:div>
    <w:div w:id="1015115207">
      <w:bodyDiv w:val="1"/>
      <w:marLeft w:val="0"/>
      <w:marRight w:val="0"/>
      <w:marTop w:val="0"/>
      <w:marBottom w:val="0"/>
      <w:divBdr>
        <w:top w:val="none" w:sz="0" w:space="0" w:color="auto"/>
        <w:left w:val="none" w:sz="0" w:space="0" w:color="auto"/>
        <w:bottom w:val="none" w:sz="0" w:space="0" w:color="auto"/>
        <w:right w:val="none" w:sz="0" w:space="0" w:color="auto"/>
      </w:divBdr>
    </w:div>
    <w:div w:id="1101686966">
      <w:bodyDiv w:val="1"/>
      <w:marLeft w:val="0"/>
      <w:marRight w:val="0"/>
      <w:marTop w:val="0"/>
      <w:marBottom w:val="0"/>
      <w:divBdr>
        <w:top w:val="none" w:sz="0" w:space="0" w:color="auto"/>
        <w:left w:val="none" w:sz="0" w:space="0" w:color="auto"/>
        <w:bottom w:val="none" w:sz="0" w:space="0" w:color="auto"/>
        <w:right w:val="none" w:sz="0" w:space="0" w:color="auto"/>
      </w:divBdr>
    </w:div>
    <w:div w:id="1107039669">
      <w:bodyDiv w:val="1"/>
      <w:marLeft w:val="0"/>
      <w:marRight w:val="0"/>
      <w:marTop w:val="0"/>
      <w:marBottom w:val="0"/>
      <w:divBdr>
        <w:top w:val="none" w:sz="0" w:space="0" w:color="auto"/>
        <w:left w:val="none" w:sz="0" w:space="0" w:color="auto"/>
        <w:bottom w:val="none" w:sz="0" w:space="0" w:color="auto"/>
        <w:right w:val="none" w:sz="0" w:space="0" w:color="auto"/>
      </w:divBdr>
    </w:div>
    <w:div w:id="1134563184">
      <w:bodyDiv w:val="1"/>
      <w:marLeft w:val="0"/>
      <w:marRight w:val="0"/>
      <w:marTop w:val="0"/>
      <w:marBottom w:val="0"/>
      <w:divBdr>
        <w:top w:val="none" w:sz="0" w:space="0" w:color="auto"/>
        <w:left w:val="none" w:sz="0" w:space="0" w:color="auto"/>
        <w:bottom w:val="none" w:sz="0" w:space="0" w:color="auto"/>
        <w:right w:val="none" w:sz="0" w:space="0" w:color="auto"/>
      </w:divBdr>
    </w:div>
    <w:div w:id="1199322159">
      <w:bodyDiv w:val="1"/>
      <w:marLeft w:val="0"/>
      <w:marRight w:val="0"/>
      <w:marTop w:val="0"/>
      <w:marBottom w:val="0"/>
      <w:divBdr>
        <w:top w:val="none" w:sz="0" w:space="0" w:color="auto"/>
        <w:left w:val="none" w:sz="0" w:space="0" w:color="auto"/>
        <w:bottom w:val="none" w:sz="0" w:space="0" w:color="auto"/>
        <w:right w:val="none" w:sz="0" w:space="0" w:color="auto"/>
      </w:divBdr>
    </w:div>
    <w:div w:id="1204715333">
      <w:bodyDiv w:val="1"/>
      <w:marLeft w:val="0"/>
      <w:marRight w:val="0"/>
      <w:marTop w:val="0"/>
      <w:marBottom w:val="0"/>
      <w:divBdr>
        <w:top w:val="none" w:sz="0" w:space="0" w:color="auto"/>
        <w:left w:val="none" w:sz="0" w:space="0" w:color="auto"/>
        <w:bottom w:val="none" w:sz="0" w:space="0" w:color="auto"/>
        <w:right w:val="none" w:sz="0" w:space="0" w:color="auto"/>
      </w:divBdr>
    </w:div>
    <w:div w:id="1295597419">
      <w:bodyDiv w:val="1"/>
      <w:marLeft w:val="0"/>
      <w:marRight w:val="0"/>
      <w:marTop w:val="0"/>
      <w:marBottom w:val="0"/>
      <w:divBdr>
        <w:top w:val="none" w:sz="0" w:space="0" w:color="auto"/>
        <w:left w:val="none" w:sz="0" w:space="0" w:color="auto"/>
        <w:bottom w:val="none" w:sz="0" w:space="0" w:color="auto"/>
        <w:right w:val="none" w:sz="0" w:space="0" w:color="auto"/>
      </w:divBdr>
    </w:div>
    <w:div w:id="1341473360">
      <w:bodyDiv w:val="1"/>
      <w:marLeft w:val="0"/>
      <w:marRight w:val="0"/>
      <w:marTop w:val="0"/>
      <w:marBottom w:val="0"/>
      <w:divBdr>
        <w:top w:val="none" w:sz="0" w:space="0" w:color="auto"/>
        <w:left w:val="none" w:sz="0" w:space="0" w:color="auto"/>
        <w:bottom w:val="none" w:sz="0" w:space="0" w:color="auto"/>
        <w:right w:val="none" w:sz="0" w:space="0" w:color="auto"/>
      </w:divBdr>
    </w:div>
    <w:div w:id="1356537102">
      <w:bodyDiv w:val="1"/>
      <w:marLeft w:val="0"/>
      <w:marRight w:val="0"/>
      <w:marTop w:val="0"/>
      <w:marBottom w:val="0"/>
      <w:divBdr>
        <w:top w:val="none" w:sz="0" w:space="0" w:color="auto"/>
        <w:left w:val="none" w:sz="0" w:space="0" w:color="auto"/>
        <w:bottom w:val="none" w:sz="0" w:space="0" w:color="auto"/>
        <w:right w:val="none" w:sz="0" w:space="0" w:color="auto"/>
      </w:divBdr>
    </w:div>
    <w:div w:id="1369791875">
      <w:bodyDiv w:val="1"/>
      <w:marLeft w:val="0"/>
      <w:marRight w:val="0"/>
      <w:marTop w:val="0"/>
      <w:marBottom w:val="0"/>
      <w:divBdr>
        <w:top w:val="none" w:sz="0" w:space="0" w:color="auto"/>
        <w:left w:val="none" w:sz="0" w:space="0" w:color="auto"/>
        <w:bottom w:val="none" w:sz="0" w:space="0" w:color="auto"/>
        <w:right w:val="none" w:sz="0" w:space="0" w:color="auto"/>
      </w:divBdr>
    </w:div>
    <w:div w:id="1388602552">
      <w:bodyDiv w:val="1"/>
      <w:marLeft w:val="0"/>
      <w:marRight w:val="0"/>
      <w:marTop w:val="0"/>
      <w:marBottom w:val="0"/>
      <w:divBdr>
        <w:top w:val="none" w:sz="0" w:space="0" w:color="auto"/>
        <w:left w:val="none" w:sz="0" w:space="0" w:color="auto"/>
        <w:bottom w:val="none" w:sz="0" w:space="0" w:color="auto"/>
        <w:right w:val="none" w:sz="0" w:space="0" w:color="auto"/>
      </w:divBdr>
    </w:div>
    <w:div w:id="1451514981">
      <w:bodyDiv w:val="1"/>
      <w:marLeft w:val="0"/>
      <w:marRight w:val="0"/>
      <w:marTop w:val="0"/>
      <w:marBottom w:val="0"/>
      <w:divBdr>
        <w:top w:val="none" w:sz="0" w:space="0" w:color="auto"/>
        <w:left w:val="none" w:sz="0" w:space="0" w:color="auto"/>
        <w:bottom w:val="none" w:sz="0" w:space="0" w:color="auto"/>
        <w:right w:val="none" w:sz="0" w:space="0" w:color="auto"/>
      </w:divBdr>
    </w:div>
    <w:div w:id="1493175086">
      <w:bodyDiv w:val="1"/>
      <w:marLeft w:val="0"/>
      <w:marRight w:val="0"/>
      <w:marTop w:val="0"/>
      <w:marBottom w:val="0"/>
      <w:divBdr>
        <w:top w:val="none" w:sz="0" w:space="0" w:color="auto"/>
        <w:left w:val="none" w:sz="0" w:space="0" w:color="auto"/>
        <w:bottom w:val="none" w:sz="0" w:space="0" w:color="auto"/>
        <w:right w:val="none" w:sz="0" w:space="0" w:color="auto"/>
      </w:divBdr>
    </w:div>
    <w:div w:id="1497840184">
      <w:bodyDiv w:val="1"/>
      <w:marLeft w:val="0"/>
      <w:marRight w:val="0"/>
      <w:marTop w:val="0"/>
      <w:marBottom w:val="0"/>
      <w:divBdr>
        <w:top w:val="none" w:sz="0" w:space="0" w:color="auto"/>
        <w:left w:val="none" w:sz="0" w:space="0" w:color="auto"/>
        <w:bottom w:val="none" w:sz="0" w:space="0" w:color="auto"/>
        <w:right w:val="none" w:sz="0" w:space="0" w:color="auto"/>
      </w:divBdr>
    </w:div>
    <w:div w:id="1500343724">
      <w:bodyDiv w:val="1"/>
      <w:marLeft w:val="0"/>
      <w:marRight w:val="0"/>
      <w:marTop w:val="0"/>
      <w:marBottom w:val="0"/>
      <w:divBdr>
        <w:top w:val="none" w:sz="0" w:space="0" w:color="auto"/>
        <w:left w:val="none" w:sz="0" w:space="0" w:color="auto"/>
        <w:bottom w:val="none" w:sz="0" w:space="0" w:color="auto"/>
        <w:right w:val="none" w:sz="0" w:space="0" w:color="auto"/>
      </w:divBdr>
    </w:div>
    <w:div w:id="1565874369">
      <w:bodyDiv w:val="1"/>
      <w:marLeft w:val="0"/>
      <w:marRight w:val="0"/>
      <w:marTop w:val="0"/>
      <w:marBottom w:val="0"/>
      <w:divBdr>
        <w:top w:val="none" w:sz="0" w:space="0" w:color="auto"/>
        <w:left w:val="none" w:sz="0" w:space="0" w:color="auto"/>
        <w:bottom w:val="none" w:sz="0" w:space="0" w:color="auto"/>
        <w:right w:val="none" w:sz="0" w:space="0" w:color="auto"/>
      </w:divBdr>
    </w:div>
    <w:div w:id="1583445456">
      <w:bodyDiv w:val="1"/>
      <w:marLeft w:val="0"/>
      <w:marRight w:val="0"/>
      <w:marTop w:val="0"/>
      <w:marBottom w:val="0"/>
      <w:divBdr>
        <w:top w:val="none" w:sz="0" w:space="0" w:color="auto"/>
        <w:left w:val="none" w:sz="0" w:space="0" w:color="auto"/>
        <w:bottom w:val="none" w:sz="0" w:space="0" w:color="auto"/>
        <w:right w:val="none" w:sz="0" w:space="0" w:color="auto"/>
      </w:divBdr>
    </w:div>
    <w:div w:id="1624342051">
      <w:bodyDiv w:val="1"/>
      <w:marLeft w:val="0"/>
      <w:marRight w:val="0"/>
      <w:marTop w:val="0"/>
      <w:marBottom w:val="0"/>
      <w:divBdr>
        <w:top w:val="none" w:sz="0" w:space="0" w:color="auto"/>
        <w:left w:val="none" w:sz="0" w:space="0" w:color="auto"/>
        <w:bottom w:val="none" w:sz="0" w:space="0" w:color="auto"/>
        <w:right w:val="none" w:sz="0" w:space="0" w:color="auto"/>
      </w:divBdr>
    </w:div>
    <w:div w:id="1676764947">
      <w:bodyDiv w:val="1"/>
      <w:marLeft w:val="0"/>
      <w:marRight w:val="0"/>
      <w:marTop w:val="0"/>
      <w:marBottom w:val="0"/>
      <w:divBdr>
        <w:top w:val="none" w:sz="0" w:space="0" w:color="auto"/>
        <w:left w:val="none" w:sz="0" w:space="0" w:color="auto"/>
        <w:bottom w:val="none" w:sz="0" w:space="0" w:color="auto"/>
        <w:right w:val="none" w:sz="0" w:space="0" w:color="auto"/>
      </w:divBdr>
    </w:div>
    <w:div w:id="1679693388">
      <w:bodyDiv w:val="1"/>
      <w:marLeft w:val="0"/>
      <w:marRight w:val="0"/>
      <w:marTop w:val="0"/>
      <w:marBottom w:val="0"/>
      <w:divBdr>
        <w:top w:val="none" w:sz="0" w:space="0" w:color="auto"/>
        <w:left w:val="none" w:sz="0" w:space="0" w:color="auto"/>
        <w:bottom w:val="none" w:sz="0" w:space="0" w:color="auto"/>
        <w:right w:val="none" w:sz="0" w:space="0" w:color="auto"/>
      </w:divBdr>
    </w:div>
    <w:div w:id="1701785175">
      <w:bodyDiv w:val="1"/>
      <w:marLeft w:val="0"/>
      <w:marRight w:val="0"/>
      <w:marTop w:val="0"/>
      <w:marBottom w:val="0"/>
      <w:divBdr>
        <w:top w:val="none" w:sz="0" w:space="0" w:color="auto"/>
        <w:left w:val="none" w:sz="0" w:space="0" w:color="auto"/>
        <w:bottom w:val="none" w:sz="0" w:space="0" w:color="auto"/>
        <w:right w:val="none" w:sz="0" w:space="0" w:color="auto"/>
      </w:divBdr>
    </w:div>
    <w:div w:id="1795756680">
      <w:bodyDiv w:val="1"/>
      <w:marLeft w:val="0"/>
      <w:marRight w:val="0"/>
      <w:marTop w:val="0"/>
      <w:marBottom w:val="0"/>
      <w:divBdr>
        <w:top w:val="none" w:sz="0" w:space="0" w:color="auto"/>
        <w:left w:val="none" w:sz="0" w:space="0" w:color="auto"/>
        <w:bottom w:val="none" w:sz="0" w:space="0" w:color="auto"/>
        <w:right w:val="none" w:sz="0" w:space="0" w:color="auto"/>
      </w:divBdr>
    </w:div>
    <w:div w:id="1855455720">
      <w:bodyDiv w:val="1"/>
      <w:marLeft w:val="0"/>
      <w:marRight w:val="0"/>
      <w:marTop w:val="0"/>
      <w:marBottom w:val="0"/>
      <w:divBdr>
        <w:top w:val="none" w:sz="0" w:space="0" w:color="auto"/>
        <w:left w:val="none" w:sz="0" w:space="0" w:color="auto"/>
        <w:bottom w:val="none" w:sz="0" w:space="0" w:color="auto"/>
        <w:right w:val="none" w:sz="0" w:space="0" w:color="auto"/>
      </w:divBdr>
    </w:div>
    <w:div w:id="1991207460">
      <w:bodyDiv w:val="1"/>
      <w:marLeft w:val="0"/>
      <w:marRight w:val="0"/>
      <w:marTop w:val="0"/>
      <w:marBottom w:val="0"/>
      <w:divBdr>
        <w:top w:val="none" w:sz="0" w:space="0" w:color="auto"/>
        <w:left w:val="none" w:sz="0" w:space="0" w:color="auto"/>
        <w:bottom w:val="none" w:sz="0" w:space="0" w:color="auto"/>
        <w:right w:val="none" w:sz="0" w:space="0" w:color="auto"/>
      </w:divBdr>
    </w:div>
    <w:div w:id="1996105758">
      <w:bodyDiv w:val="1"/>
      <w:marLeft w:val="0"/>
      <w:marRight w:val="0"/>
      <w:marTop w:val="0"/>
      <w:marBottom w:val="0"/>
      <w:divBdr>
        <w:top w:val="none" w:sz="0" w:space="0" w:color="auto"/>
        <w:left w:val="none" w:sz="0" w:space="0" w:color="auto"/>
        <w:bottom w:val="none" w:sz="0" w:space="0" w:color="auto"/>
        <w:right w:val="none" w:sz="0" w:space="0" w:color="auto"/>
      </w:divBdr>
    </w:div>
    <w:div w:id="2134712435">
      <w:bodyDiv w:val="1"/>
      <w:marLeft w:val="0"/>
      <w:marRight w:val="0"/>
      <w:marTop w:val="0"/>
      <w:marBottom w:val="0"/>
      <w:divBdr>
        <w:top w:val="none" w:sz="0" w:space="0" w:color="auto"/>
        <w:left w:val="none" w:sz="0" w:space="0" w:color="auto"/>
        <w:bottom w:val="none" w:sz="0" w:space="0" w:color="auto"/>
        <w:right w:val="none" w:sz="0" w:space="0" w:color="auto"/>
      </w:divBdr>
    </w:div>
    <w:div w:id="2137291043">
      <w:bodyDiv w:val="1"/>
      <w:marLeft w:val="0"/>
      <w:marRight w:val="0"/>
      <w:marTop w:val="0"/>
      <w:marBottom w:val="0"/>
      <w:divBdr>
        <w:top w:val="none" w:sz="0" w:space="0" w:color="auto"/>
        <w:left w:val="none" w:sz="0" w:space="0" w:color="auto"/>
        <w:bottom w:val="none" w:sz="0" w:space="0" w:color="auto"/>
        <w:right w:val="none" w:sz="0" w:space="0" w:color="auto"/>
      </w:divBdr>
      <w:divsChild>
        <w:div w:id="1242913150">
          <w:marLeft w:val="0"/>
          <w:marRight w:val="0"/>
          <w:marTop w:val="0"/>
          <w:marBottom w:val="0"/>
          <w:divBdr>
            <w:top w:val="none" w:sz="0" w:space="0" w:color="auto"/>
            <w:left w:val="none" w:sz="0" w:space="0" w:color="auto"/>
            <w:bottom w:val="none" w:sz="0" w:space="0" w:color="auto"/>
            <w:right w:val="none" w:sz="0" w:space="0" w:color="auto"/>
          </w:divBdr>
          <w:divsChild>
            <w:div w:id="296449921">
              <w:marLeft w:val="0"/>
              <w:marRight w:val="0"/>
              <w:marTop w:val="0"/>
              <w:marBottom w:val="0"/>
              <w:divBdr>
                <w:top w:val="none" w:sz="0" w:space="0" w:color="auto"/>
                <w:left w:val="none" w:sz="0" w:space="0" w:color="auto"/>
                <w:bottom w:val="none" w:sz="0" w:space="0" w:color="auto"/>
                <w:right w:val="none" w:sz="0" w:space="0" w:color="auto"/>
              </w:divBdr>
              <w:divsChild>
                <w:div w:id="921835345">
                  <w:marLeft w:val="0"/>
                  <w:marRight w:val="0"/>
                  <w:marTop w:val="0"/>
                  <w:marBottom w:val="0"/>
                  <w:divBdr>
                    <w:top w:val="none" w:sz="0" w:space="0" w:color="auto"/>
                    <w:left w:val="none" w:sz="0" w:space="0" w:color="auto"/>
                    <w:bottom w:val="none" w:sz="0" w:space="0" w:color="auto"/>
                    <w:right w:val="none" w:sz="0" w:space="0" w:color="auto"/>
                  </w:divBdr>
                  <w:divsChild>
                    <w:div w:id="202250433">
                      <w:marLeft w:val="0"/>
                      <w:marRight w:val="0"/>
                      <w:marTop w:val="0"/>
                      <w:marBottom w:val="0"/>
                      <w:divBdr>
                        <w:top w:val="none" w:sz="0" w:space="0" w:color="auto"/>
                        <w:left w:val="none" w:sz="0" w:space="0" w:color="auto"/>
                        <w:bottom w:val="none" w:sz="0" w:space="0" w:color="auto"/>
                        <w:right w:val="none" w:sz="0" w:space="0" w:color="auto"/>
                      </w:divBdr>
                      <w:divsChild>
                        <w:div w:id="106848556">
                          <w:marLeft w:val="0"/>
                          <w:marRight w:val="0"/>
                          <w:marTop w:val="0"/>
                          <w:marBottom w:val="0"/>
                          <w:divBdr>
                            <w:top w:val="none" w:sz="0" w:space="0" w:color="auto"/>
                            <w:left w:val="none" w:sz="0" w:space="0" w:color="auto"/>
                            <w:bottom w:val="none" w:sz="0" w:space="0" w:color="auto"/>
                            <w:right w:val="none" w:sz="0" w:space="0" w:color="auto"/>
                          </w:divBdr>
                          <w:divsChild>
                            <w:div w:id="783185018">
                              <w:marLeft w:val="0"/>
                              <w:marRight w:val="0"/>
                              <w:marTop w:val="0"/>
                              <w:marBottom w:val="0"/>
                              <w:divBdr>
                                <w:top w:val="none" w:sz="0" w:space="0" w:color="auto"/>
                                <w:left w:val="none" w:sz="0" w:space="0" w:color="auto"/>
                                <w:bottom w:val="none" w:sz="0" w:space="0" w:color="auto"/>
                                <w:right w:val="none" w:sz="0" w:space="0" w:color="auto"/>
                              </w:divBdr>
                              <w:divsChild>
                                <w:div w:id="1463227985">
                                  <w:marLeft w:val="0"/>
                                  <w:marRight w:val="0"/>
                                  <w:marTop w:val="0"/>
                                  <w:marBottom w:val="0"/>
                                  <w:divBdr>
                                    <w:top w:val="none" w:sz="0" w:space="0" w:color="auto"/>
                                    <w:left w:val="none" w:sz="0" w:space="0" w:color="auto"/>
                                    <w:bottom w:val="none" w:sz="0" w:space="0" w:color="auto"/>
                                    <w:right w:val="none" w:sz="0" w:space="0" w:color="auto"/>
                                  </w:divBdr>
                                  <w:divsChild>
                                    <w:div w:id="161237950">
                                      <w:marLeft w:val="0"/>
                                      <w:marRight w:val="0"/>
                                      <w:marTop w:val="0"/>
                                      <w:marBottom w:val="0"/>
                                      <w:divBdr>
                                        <w:top w:val="none" w:sz="0" w:space="0" w:color="auto"/>
                                        <w:left w:val="none" w:sz="0" w:space="0" w:color="auto"/>
                                        <w:bottom w:val="none" w:sz="0" w:space="0" w:color="auto"/>
                                        <w:right w:val="none" w:sz="0" w:space="0" w:color="auto"/>
                                      </w:divBdr>
                                      <w:divsChild>
                                        <w:div w:id="1528249599">
                                          <w:marLeft w:val="0"/>
                                          <w:marRight w:val="0"/>
                                          <w:marTop w:val="0"/>
                                          <w:marBottom w:val="0"/>
                                          <w:divBdr>
                                            <w:top w:val="none" w:sz="0" w:space="0" w:color="auto"/>
                                            <w:left w:val="none" w:sz="0" w:space="0" w:color="auto"/>
                                            <w:bottom w:val="none" w:sz="0" w:space="0" w:color="auto"/>
                                            <w:right w:val="none" w:sz="0" w:space="0" w:color="auto"/>
                                          </w:divBdr>
                                          <w:divsChild>
                                            <w:div w:id="803890619">
                                              <w:marLeft w:val="0"/>
                                              <w:marRight w:val="0"/>
                                              <w:marTop w:val="0"/>
                                              <w:marBottom w:val="0"/>
                                              <w:divBdr>
                                                <w:top w:val="none" w:sz="0" w:space="0" w:color="auto"/>
                                                <w:left w:val="none" w:sz="0" w:space="0" w:color="auto"/>
                                                <w:bottom w:val="none" w:sz="0" w:space="0" w:color="auto"/>
                                                <w:right w:val="none" w:sz="0" w:space="0" w:color="auto"/>
                                              </w:divBdr>
                                              <w:divsChild>
                                                <w:div w:id="131563243">
                                                  <w:marLeft w:val="0"/>
                                                  <w:marRight w:val="0"/>
                                                  <w:marTop w:val="0"/>
                                                  <w:marBottom w:val="0"/>
                                                  <w:divBdr>
                                                    <w:top w:val="none" w:sz="0" w:space="0" w:color="auto"/>
                                                    <w:left w:val="none" w:sz="0" w:space="0" w:color="auto"/>
                                                    <w:bottom w:val="none" w:sz="0" w:space="0" w:color="auto"/>
                                                    <w:right w:val="none" w:sz="0" w:space="0" w:color="auto"/>
                                                  </w:divBdr>
                                                  <w:divsChild>
                                                    <w:div w:id="160761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6930309">
          <w:marLeft w:val="0"/>
          <w:marRight w:val="0"/>
          <w:marTop w:val="0"/>
          <w:marBottom w:val="0"/>
          <w:divBdr>
            <w:top w:val="none" w:sz="0" w:space="0" w:color="auto"/>
            <w:left w:val="none" w:sz="0" w:space="0" w:color="auto"/>
            <w:bottom w:val="none" w:sz="0" w:space="0" w:color="auto"/>
            <w:right w:val="none" w:sz="0" w:space="0" w:color="auto"/>
          </w:divBdr>
          <w:divsChild>
            <w:div w:id="241452892">
              <w:marLeft w:val="0"/>
              <w:marRight w:val="0"/>
              <w:marTop w:val="0"/>
              <w:marBottom w:val="0"/>
              <w:divBdr>
                <w:top w:val="none" w:sz="0" w:space="0" w:color="auto"/>
                <w:left w:val="none" w:sz="0" w:space="0" w:color="auto"/>
                <w:bottom w:val="none" w:sz="0" w:space="0" w:color="auto"/>
                <w:right w:val="none" w:sz="0" w:space="0" w:color="auto"/>
              </w:divBdr>
              <w:divsChild>
                <w:div w:id="1992951622">
                  <w:marLeft w:val="0"/>
                  <w:marRight w:val="0"/>
                  <w:marTop w:val="0"/>
                  <w:marBottom w:val="0"/>
                  <w:divBdr>
                    <w:top w:val="none" w:sz="0" w:space="0" w:color="auto"/>
                    <w:left w:val="none" w:sz="0" w:space="0" w:color="auto"/>
                    <w:bottom w:val="none" w:sz="0" w:space="0" w:color="auto"/>
                    <w:right w:val="none" w:sz="0" w:space="0" w:color="auto"/>
                  </w:divBdr>
                  <w:divsChild>
                    <w:div w:id="1498039747">
                      <w:marLeft w:val="0"/>
                      <w:marRight w:val="0"/>
                      <w:marTop w:val="0"/>
                      <w:marBottom w:val="0"/>
                      <w:divBdr>
                        <w:top w:val="none" w:sz="0" w:space="0" w:color="auto"/>
                        <w:left w:val="none" w:sz="0" w:space="0" w:color="auto"/>
                        <w:bottom w:val="none" w:sz="0" w:space="0" w:color="auto"/>
                        <w:right w:val="none" w:sz="0" w:space="0" w:color="auto"/>
                      </w:divBdr>
                      <w:divsChild>
                        <w:div w:id="124734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dela947@gmail.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topandessa@gmail.com" TargetMode="External"/><Relationship Id="rId4" Type="http://schemas.openxmlformats.org/officeDocument/2006/relationships/styles" Target="styles.xml"/><Relationship Id="rId9" Type="http://schemas.openxmlformats.org/officeDocument/2006/relationships/hyperlink" Target="mailto:meldasary100604@gmail.com"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ewUbg4Fnk624nD8j/o2B7RqKFw==">CgMxLjAyCWlkLmdqZGd4czIJaC4zMGowemxsOAByITFTV0VFTXNoU0k0UGIzTkhsYkVyOU16Q0FYME4waWt0Qw==</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4BBF4B9-6623-4B6E-A37B-DD6A1E61CD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271</TotalTime>
  <Pages>7</Pages>
  <Words>2667</Words>
  <Characters>15204</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Auliantech</dc:creator>
  <cp:lastModifiedBy>RASYID BKL</cp:lastModifiedBy>
  <cp:revision>22</cp:revision>
  <cp:lastPrinted>2025-04-28T14:40:00Z</cp:lastPrinted>
  <dcterms:created xsi:type="dcterms:W3CDTF">2025-05-08T04:41:00Z</dcterms:created>
  <dcterms:modified xsi:type="dcterms:W3CDTF">2025-06-19T14:52:00Z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c79e30bd-65e5-3db9-9a8d-c0cb0b6ea43f</vt:lpwstr>
  </property>
  <property fmtid="{D5CDD505-2E9C-101B-9397-08002B2CF9AE}" pid="4" name="Mendeley Citation Style_1">
    <vt:lpwstr>http://www.zotero.org/styles/turabian-fullnote-bibliography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 6th/7th edition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12th edition - Harvard</vt:lpwstr>
  </property>
  <property fmtid="{D5CDD505-2E9C-101B-9397-08002B2CF9AE}" pid="15" name="Mendeley Recent Style Id 5_1">
    <vt:lpwstr>http://www.zotero.org/styles/ieee</vt:lpwstr>
  </property>
  <property fmtid="{D5CDD505-2E9C-101B-9397-08002B2CF9AE}" pid="16" name="Mendeley Recent Style Name 5_1">
    <vt:lpwstr>IEEE</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4th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9th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http://www.zotero.org/styles/turabian-fullnote-bibliography</vt:lpwstr>
  </property>
  <property fmtid="{D5CDD505-2E9C-101B-9397-08002B2CF9AE}" pid="24" name="Mendeley Recent Style Name 9_1">
    <vt:lpwstr>Turabian 9th edition (full note)</vt:lpwstr>
  </property>
</Properties>
</file>